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4889" w14:textId="4F78E2A1" w:rsidR="00214278" w:rsidRPr="00892A9E" w:rsidRDefault="00214278" w:rsidP="00B43A31">
      <w:pPr>
        <w:widowControl w:val="0"/>
        <w:tabs>
          <w:tab w:val="left" w:pos="360"/>
        </w:tabs>
        <w:overflowPunct w:val="0"/>
        <w:autoSpaceDE w:val="0"/>
        <w:autoSpaceDN w:val="0"/>
        <w:adjustRightInd w:val="0"/>
        <w:spacing w:line="480" w:lineRule="auto"/>
        <w:ind w:left="360"/>
        <w:jc w:val="both"/>
        <w:textAlignment w:val="baseline"/>
        <w:outlineLvl w:val="1"/>
        <w:rPr>
          <w:rFonts w:eastAsia="SimSun"/>
          <w:b/>
          <w:bCs/>
          <w:sz w:val="20"/>
          <w:szCs w:val="20"/>
        </w:rPr>
      </w:pPr>
      <w:r w:rsidRPr="491AC1E9">
        <w:rPr>
          <w:rFonts w:eastAsia="SimSun"/>
          <w:b/>
          <w:bCs/>
          <w:sz w:val="20"/>
          <w:szCs w:val="20"/>
        </w:rPr>
        <w:t>6A-10.0352 Linking Industry to Nursing Education (LINE) Fund.</w:t>
      </w:r>
    </w:p>
    <w:p w14:paraId="3E397A53" w14:textId="77777777" w:rsidR="00214278" w:rsidRPr="00892A9E" w:rsidRDefault="00214278" w:rsidP="00B43A31">
      <w:pPr>
        <w:widowControl w:val="0"/>
        <w:spacing w:line="480" w:lineRule="auto"/>
        <w:ind w:left="360"/>
        <w:rPr>
          <w:rFonts w:eastAsia="SimSun"/>
          <w:sz w:val="20"/>
          <w:szCs w:val="20"/>
        </w:rPr>
      </w:pPr>
      <w:r w:rsidRPr="491AC1E9">
        <w:rPr>
          <w:rFonts w:eastAsia="SimSun"/>
          <w:sz w:val="20"/>
          <w:szCs w:val="20"/>
        </w:rPr>
        <w:t xml:space="preserve">(1) Purpose. The purpose of this rule is to set forth the requirements relating to the Linking Industry to Nursing Education (LINE) Fund, which is intended to meet local, regional, and state workforce demand by recruiting faculty and clinical preceptors, increasing the capacity of high-quality nursing education programs, and increasing the number of nursing education program graduates who are prepared </w:t>
      </w:r>
      <w:r w:rsidR="00B67306" w:rsidRPr="491AC1E9">
        <w:rPr>
          <w:rFonts w:eastAsia="SimSun"/>
          <w:sz w:val="20"/>
          <w:szCs w:val="20"/>
          <w:u w:val="single"/>
        </w:rPr>
        <w:t>and licensed</w:t>
      </w:r>
      <w:r w:rsidR="00B67306" w:rsidRPr="491AC1E9">
        <w:rPr>
          <w:rFonts w:eastAsia="SimSun"/>
          <w:sz w:val="20"/>
          <w:szCs w:val="20"/>
        </w:rPr>
        <w:t xml:space="preserve"> </w:t>
      </w:r>
      <w:r w:rsidRPr="491AC1E9">
        <w:rPr>
          <w:rFonts w:eastAsia="SimSun"/>
          <w:sz w:val="20"/>
          <w:szCs w:val="20"/>
        </w:rPr>
        <w:t>to enter the workforce.</w:t>
      </w:r>
    </w:p>
    <w:p w14:paraId="3E1691BA" w14:textId="77777777" w:rsidR="00214278" w:rsidRPr="00892A9E" w:rsidRDefault="00214278" w:rsidP="00B43A31">
      <w:pPr>
        <w:widowControl w:val="0"/>
        <w:spacing w:line="480" w:lineRule="auto"/>
        <w:ind w:left="360"/>
        <w:rPr>
          <w:rFonts w:eastAsia="SimSun"/>
          <w:sz w:val="20"/>
          <w:szCs w:val="20"/>
        </w:rPr>
      </w:pPr>
      <w:r w:rsidRPr="620697A3">
        <w:rPr>
          <w:rFonts w:eastAsia="SimSun"/>
          <w:sz w:val="20"/>
          <w:szCs w:val="20"/>
        </w:rPr>
        <w:t>(2) Definitions.</w:t>
      </w:r>
    </w:p>
    <w:p w14:paraId="02E162AB" w14:textId="77777777" w:rsidR="00214278" w:rsidRPr="00892A9E" w:rsidRDefault="00214278" w:rsidP="00B43A31">
      <w:pPr>
        <w:widowControl w:val="0"/>
        <w:spacing w:line="480" w:lineRule="auto"/>
        <w:ind w:left="360"/>
        <w:rPr>
          <w:rFonts w:eastAsia="SimSun"/>
          <w:sz w:val="20"/>
          <w:szCs w:val="20"/>
        </w:rPr>
      </w:pPr>
      <w:r w:rsidRPr="620697A3">
        <w:rPr>
          <w:rFonts w:eastAsia="SimSun"/>
          <w:sz w:val="20"/>
          <w:szCs w:val="20"/>
        </w:rPr>
        <w:t>(a) “Health care partner” means</w:t>
      </w:r>
      <w:r w:rsidRPr="620697A3">
        <w:rPr>
          <w:sz w:val="20"/>
          <w:szCs w:val="20"/>
        </w:rPr>
        <w:t xml:space="preserve"> </w:t>
      </w:r>
      <w:r w:rsidRPr="620697A3">
        <w:rPr>
          <w:rFonts w:eastAsia="SimSun"/>
          <w:sz w:val="20"/>
          <w:szCs w:val="20"/>
        </w:rPr>
        <w:t xml:space="preserve">a health care provider as defined in Section 768.38(2), F.S. For purposes of the LINE Fund, the health care partner must be </w:t>
      </w:r>
      <w:r w:rsidRPr="620697A3">
        <w:rPr>
          <w:rFonts w:eastAsia="SimSun"/>
          <w:strike/>
          <w:sz w:val="20"/>
          <w:szCs w:val="20"/>
        </w:rPr>
        <w:t>located and</w:t>
      </w:r>
      <w:r w:rsidRPr="620697A3">
        <w:rPr>
          <w:rFonts w:eastAsia="SimSun"/>
          <w:sz w:val="20"/>
          <w:szCs w:val="20"/>
        </w:rPr>
        <w:t xml:space="preserve"> licensed to operate in the state and make a monetary</w:t>
      </w:r>
      <w:r w:rsidR="00A079FA" w:rsidRPr="620697A3">
        <w:rPr>
          <w:rFonts w:eastAsia="SimSun"/>
          <w:sz w:val="20"/>
          <w:szCs w:val="20"/>
        </w:rPr>
        <w:t xml:space="preserve"> </w:t>
      </w:r>
      <w:r w:rsidR="00A079FA" w:rsidRPr="620697A3">
        <w:rPr>
          <w:rFonts w:eastAsia="SimSun"/>
          <w:sz w:val="20"/>
          <w:szCs w:val="20"/>
          <w:u w:val="single"/>
        </w:rPr>
        <w:t>or nonmonetary</w:t>
      </w:r>
      <w:r w:rsidRPr="620697A3">
        <w:rPr>
          <w:rFonts w:eastAsia="SimSun"/>
          <w:sz w:val="20"/>
          <w:szCs w:val="20"/>
        </w:rPr>
        <w:t xml:space="preserve"> contribution to the postsecondary institution.</w:t>
      </w:r>
    </w:p>
    <w:p w14:paraId="1B92E249" w14:textId="01E4FA10" w:rsidR="00A079FA" w:rsidRPr="00892A9E" w:rsidRDefault="00A079FA" w:rsidP="00B43A31">
      <w:pPr>
        <w:widowControl w:val="0"/>
        <w:spacing w:line="480" w:lineRule="auto"/>
        <w:ind w:left="360"/>
        <w:rPr>
          <w:rFonts w:eastAsia="SimSun"/>
          <w:sz w:val="20"/>
          <w:szCs w:val="20"/>
        </w:rPr>
      </w:pPr>
      <w:r w:rsidRPr="1A4575C6">
        <w:rPr>
          <w:rFonts w:eastAsia="SimSun"/>
          <w:sz w:val="20"/>
          <w:szCs w:val="20"/>
        </w:rPr>
        <w:t>(b) “</w:t>
      </w:r>
      <w:r w:rsidRPr="1A4575C6">
        <w:rPr>
          <w:rFonts w:eastAsia="SimSun"/>
          <w:sz w:val="20"/>
          <w:szCs w:val="20"/>
          <w:u w:val="single"/>
        </w:rPr>
        <w:t xml:space="preserve">Contributor” means any health care partner or other person or entity that </w:t>
      </w:r>
      <w:r w:rsidR="00BC07C1">
        <w:rPr>
          <w:rFonts w:eastAsia="SimSun"/>
          <w:sz w:val="20"/>
          <w:szCs w:val="20"/>
          <w:u w:val="single"/>
        </w:rPr>
        <w:t>makes monetary or non</w:t>
      </w:r>
      <w:r w:rsidR="00A00777">
        <w:rPr>
          <w:rFonts w:eastAsia="SimSun"/>
          <w:sz w:val="20"/>
          <w:szCs w:val="20"/>
          <w:u w:val="single"/>
        </w:rPr>
        <w:t>monetary contributions</w:t>
      </w:r>
      <w:r w:rsidRPr="1A4575C6">
        <w:rPr>
          <w:rFonts w:eastAsia="SimSun"/>
          <w:sz w:val="20"/>
          <w:szCs w:val="20"/>
          <w:u w:val="single"/>
        </w:rPr>
        <w:t xml:space="preserve"> to the participating institution for the purposes outline</w:t>
      </w:r>
      <w:r w:rsidR="7956AD74" w:rsidRPr="1A4575C6">
        <w:rPr>
          <w:rFonts w:eastAsia="SimSun"/>
          <w:sz w:val="20"/>
          <w:szCs w:val="20"/>
          <w:u w:val="single"/>
        </w:rPr>
        <w:t>d</w:t>
      </w:r>
      <w:r w:rsidRPr="1A4575C6">
        <w:rPr>
          <w:rFonts w:eastAsia="SimSun"/>
          <w:sz w:val="20"/>
          <w:szCs w:val="20"/>
          <w:u w:val="single"/>
        </w:rPr>
        <w:t xml:space="preserve"> in Section 1009.8962, F.S.</w:t>
      </w:r>
    </w:p>
    <w:p w14:paraId="6CFFCBC8" w14:textId="67EDC905" w:rsidR="00214278" w:rsidRPr="00892A9E" w:rsidRDefault="00214278" w:rsidP="00B43A31">
      <w:pPr>
        <w:widowControl w:val="0"/>
        <w:spacing w:line="480" w:lineRule="auto"/>
        <w:ind w:left="360"/>
        <w:rPr>
          <w:rFonts w:eastAsia="SimSun"/>
          <w:sz w:val="20"/>
          <w:szCs w:val="20"/>
        </w:rPr>
      </w:pPr>
      <w:r w:rsidRPr="1A4575C6">
        <w:rPr>
          <w:rFonts w:eastAsia="SimSun"/>
          <w:sz w:val="20"/>
          <w:szCs w:val="20"/>
        </w:rPr>
        <w:t>(</w:t>
      </w:r>
      <w:proofErr w:type="spellStart"/>
      <w:r w:rsidR="2A49E7FC" w:rsidRPr="1A4575C6">
        <w:rPr>
          <w:rFonts w:eastAsia="SimSun"/>
          <w:sz w:val="20"/>
          <w:szCs w:val="20"/>
        </w:rPr>
        <w:t>c</w:t>
      </w:r>
      <w:r w:rsidRPr="1A4575C6">
        <w:rPr>
          <w:rFonts w:eastAsia="SimSun"/>
          <w:strike/>
          <w:sz w:val="20"/>
          <w:szCs w:val="20"/>
        </w:rPr>
        <w:t>b</w:t>
      </w:r>
      <w:proofErr w:type="spellEnd"/>
      <w:r w:rsidRPr="1A4575C6">
        <w:rPr>
          <w:rFonts w:eastAsia="SimSun"/>
          <w:sz w:val="20"/>
          <w:szCs w:val="20"/>
        </w:rPr>
        <w:t>) “Department” means the Florida Department of Education.</w:t>
      </w:r>
    </w:p>
    <w:p w14:paraId="2C39B084" w14:textId="440FB14E" w:rsidR="00214278" w:rsidRPr="00892A9E" w:rsidRDefault="00214278" w:rsidP="00B43A31">
      <w:pPr>
        <w:widowControl w:val="0"/>
        <w:spacing w:line="480" w:lineRule="auto"/>
        <w:ind w:left="360"/>
        <w:rPr>
          <w:rFonts w:eastAsia="SimSun"/>
          <w:sz w:val="20"/>
          <w:szCs w:val="20"/>
        </w:rPr>
      </w:pPr>
      <w:r w:rsidRPr="1A4575C6">
        <w:rPr>
          <w:rFonts w:eastAsia="SimSun"/>
          <w:sz w:val="20"/>
          <w:szCs w:val="20"/>
        </w:rPr>
        <w:t>(</w:t>
      </w:r>
      <w:r w:rsidR="4CA8A067" w:rsidRPr="1A4575C6">
        <w:rPr>
          <w:rFonts w:eastAsia="SimSun"/>
          <w:sz w:val="20"/>
          <w:szCs w:val="20"/>
        </w:rPr>
        <w:t>d</w:t>
      </w:r>
      <w:r w:rsidRPr="1A4575C6">
        <w:rPr>
          <w:rFonts w:eastAsia="SimSun"/>
          <w:strike/>
          <w:sz w:val="20"/>
          <w:szCs w:val="20"/>
        </w:rPr>
        <w:t>c</w:t>
      </w:r>
      <w:r w:rsidRPr="1A4575C6">
        <w:rPr>
          <w:rFonts w:eastAsia="SimSun"/>
          <w:sz w:val="20"/>
          <w:szCs w:val="20"/>
        </w:rPr>
        <w:t>) “Institution” means a school district career center under Section 1001.44, F.S., a charter technical career center under Section 1002.34, F.S., a Florida College System institution, or an independent nonprofit college or university located and chartered in this state and accredited by an agency or association that is recognized by the database created and maintained by the United States Department of Education to grant baccalaureate degrees, or an independent school, college, or university with an accredited program as defined in Section 464.003, F.S., which is located in this state and licensed by the Commission for Independent Education pursuant to Section 1005.31, F.S., or an institution as outlined in Section 1009.521, F.S., which has a nursing education program that meets or exceeds the following:</w:t>
      </w:r>
    </w:p>
    <w:p w14:paraId="3C359158" w14:textId="4FC6A7C0" w:rsidR="00214278" w:rsidRPr="00892A9E" w:rsidRDefault="00214278" w:rsidP="00B43A31">
      <w:pPr>
        <w:widowControl w:val="0"/>
        <w:spacing w:line="480" w:lineRule="auto"/>
        <w:ind w:left="360"/>
        <w:rPr>
          <w:rFonts w:eastAsia="SimSun"/>
          <w:sz w:val="20"/>
          <w:szCs w:val="20"/>
        </w:rPr>
      </w:pPr>
      <w:r w:rsidRPr="620697A3">
        <w:rPr>
          <w:rFonts w:eastAsia="SimSun"/>
          <w:sz w:val="20"/>
          <w:szCs w:val="20"/>
        </w:rPr>
        <w:t>1.</w:t>
      </w:r>
      <w:r w:rsidR="34DDE7CB" w:rsidRPr="620697A3">
        <w:rPr>
          <w:rFonts w:eastAsia="SimSun"/>
          <w:sz w:val="20"/>
          <w:szCs w:val="20"/>
        </w:rPr>
        <w:t xml:space="preserve"> </w:t>
      </w:r>
      <w:r w:rsidRPr="620697A3">
        <w:rPr>
          <w:rFonts w:eastAsia="SimSun"/>
          <w:sz w:val="20"/>
          <w:szCs w:val="20"/>
        </w:rPr>
        <w:t>For a certified nursing assistant program, a completion rate of at least seventy (70) percent for the prior year.</w:t>
      </w:r>
    </w:p>
    <w:p w14:paraId="6E15AB31" w14:textId="6B9B10E1" w:rsidR="00214278" w:rsidRPr="00892A9E" w:rsidRDefault="00214278" w:rsidP="00B43A31">
      <w:pPr>
        <w:widowControl w:val="0"/>
        <w:spacing w:line="480" w:lineRule="auto"/>
        <w:ind w:left="360"/>
        <w:rPr>
          <w:rFonts w:eastAsia="SimSun"/>
          <w:sz w:val="20"/>
          <w:szCs w:val="20"/>
        </w:rPr>
      </w:pPr>
      <w:r w:rsidRPr="620697A3">
        <w:rPr>
          <w:rFonts w:eastAsia="SimSun"/>
          <w:sz w:val="20"/>
          <w:szCs w:val="20"/>
        </w:rPr>
        <w:t xml:space="preserve">2. For a licensed practical nurse, associate of science in nursing, and </w:t>
      </w:r>
      <w:proofErr w:type="gramStart"/>
      <w:r w:rsidRPr="620697A3">
        <w:rPr>
          <w:rFonts w:eastAsia="SimSun"/>
          <w:sz w:val="20"/>
          <w:szCs w:val="20"/>
        </w:rPr>
        <w:t>bachelor of science</w:t>
      </w:r>
      <w:proofErr w:type="gramEnd"/>
      <w:r w:rsidRPr="620697A3">
        <w:rPr>
          <w:rFonts w:eastAsia="SimSun"/>
          <w:sz w:val="20"/>
          <w:szCs w:val="20"/>
        </w:rPr>
        <w:t xml:space="preserve"> in nursing program, a first-time passage rate on the National Council of State Boards of Nursing Licensing Examination of at least seventy-five (75) percent for the prior year</w:t>
      </w:r>
      <w:r>
        <w:t xml:space="preserve"> </w:t>
      </w:r>
      <w:r w:rsidRPr="620697A3">
        <w:rPr>
          <w:rFonts w:eastAsia="SimSun"/>
          <w:sz w:val="20"/>
          <w:szCs w:val="20"/>
        </w:rPr>
        <w:t>based on a minimum of ten (10) testing participants.</w:t>
      </w:r>
    </w:p>
    <w:p w14:paraId="505568EA" w14:textId="5E2DE8DD" w:rsidR="00214278" w:rsidRPr="00892A9E" w:rsidRDefault="00214278" w:rsidP="00B43A31">
      <w:pPr>
        <w:widowControl w:val="0"/>
        <w:spacing w:line="480" w:lineRule="auto"/>
        <w:ind w:left="360"/>
        <w:rPr>
          <w:rFonts w:eastAsia="SimSun"/>
          <w:sz w:val="20"/>
          <w:szCs w:val="20"/>
        </w:rPr>
      </w:pPr>
      <w:r w:rsidRPr="1A4575C6">
        <w:rPr>
          <w:rFonts w:eastAsia="SimSun"/>
          <w:sz w:val="20"/>
          <w:szCs w:val="20"/>
        </w:rPr>
        <w:t>(</w:t>
      </w:r>
      <w:r w:rsidR="6447262B" w:rsidRPr="1A4575C6">
        <w:rPr>
          <w:rFonts w:eastAsia="SimSun"/>
          <w:sz w:val="20"/>
          <w:szCs w:val="20"/>
        </w:rPr>
        <w:t>e</w:t>
      </w:r>
      <w:r w:rsidRPr="1A4575C6">
        <w:rPr>
          <w:rFonts w:eastAsia="SimSun"/>
          <w:strike/>
          <w:sz w:val="20"/>
          <w:szCs w:val="20"/>
        </w:rPr>
        <w:t>d</w:t>
      </w:r>
      <w:r w:rsidRPr="1A4575C6">
        <w:rPr>
          <w:rFonts w:eastAsia="SimSun"/>
          <w:sz w:val="20"/>
          <w:szCs w:val="20"/>
        </w:rPr>
        <w:t>) “Student” means a person who is a resident for tuition purposes pursuant to Section 1009.21, F.S., and enrolled in a nursing education program at an institution.</w:t>
      </w:r>
    </w:p>
    <w:p w14:paraId="77A6CB6C" w14:textId="47F37C3D" w:rsidR="00214278" w:rsidRPr="00892A9E" w:rsidRDefault="00214278" w:rsidP="00B43A31">
      <w:pPr>
        <w:widowControl w:val="0"/>
        <w:spacing w:line="480" w:lineRule="auto"/>
        <w:ind w:left="360"/>
        <w:rPr>
          <w:rFonts w:eastAsia="SimSun"/>
          <w:sz w:val="20"/>
          <w:szCs w:val="20"/>
        </w:rPr>
      </w:pPr>
      <w:r w:rsidRPr="1A4575C6">
        <w:rPr>
          <w:rFonts w:eastAsia="SimSun"/>
          <w:sz w:val="20"/>
          <w:szCs w:val="20"/>
        </w:rPr>
        <w:t>(</w:t>
      </w:r>
      <w:proofErr w:type="spellStart"/>
      <w:r w:rsidR="1C1DEC24" w:rsidRPr="1A4575C6">
        <w:rPr>
          <w:rFonts w:eastAsia="SimSun"/>
          <w:sz w:val="20"/>
          <w:szCs w:val="20"/>
        </w:rPr>
        <w:t>f</w:t>
      </w:r>
      <w:r w:rsidRPr="1A4575C6">
        <w:rPr>
          <w:rFonts w:eastAsia="SimSun"/>
          <w:strike/>
          <w:sz w:val="20"/>
          <w:szCs w:val="20"/>
        </w:rPr>
        <w:t>e</w:t>
      </w:r>
      <w:proofErr w:type="spellEnd"/>
      <w:r w:rsidRPr="1A4575C6">
        <w:rPr>
          <w:rFonts w:eastAsia="SimSun"/>
          <w:sz w:val="20"/>
          <w:szCs w:val="20"/>
        </w:rPr>
        <w:t>) “Eligible purpose” means student scholarships</w:t>
      </w:r>
      <w:r w:rsidR="00F07475" w:rsidRPr="1A4575C6">
        <w:rPr>
          <w:rFonts w:eastAsia="SimSun"/>
          <w:sz w:val="20"/>
          <w:szCs w:val="20"/>
          <w:u w:val="single"/>
        </w:rPr>
        <w:t>;</w:t>
      </w:r>
      <w:r w:rsidRPr="1A4575C6">
        <w:rPr>
          <w:rFonts w:eastAsia="SimSun"/>
          <w:sz w:val="20"/>
          <w:szCs w:val="20"/>
        </w:rPr>
        <w:t xml:space="preserve"> recruitment of additional faculty</w:t>
      </w:r>
      <w:r w:rsidR="00F07475" w:rsidRPr="1A4575C6">
        <w:rPr>
          <w:rFonts w:eastAsia="SimSun"/>
          <w:sz w:val="20"/>
          <w:szCs w:val="20"/>
        </w:rPr>
        <w:t xml:space="preserve"> </w:t>
      </w:r>
      <w:r w:rsidR="00F07475" w:rsidRPr="1A4575C6">
        <w:rPr>
          <w:rFonts w:eastAsia="SimSun"/>
          <w:sz w:val="20"/>
          <w:szCs w:val="20"/>
          <w:u w:val="single"/>
        </w:rPr>
        <w:t>and preceptors;</w:t>
      </w:r>
      <w:r w:rsidR="00682889" w:rsidRPr="1A4575C6">
        <w:rPr>
          <w:rFonts w:eastAsia="SimSun"/>
          <w:sz w:val="20"/>
          <w:szCs w:val="20"/>
        </w:rPr>
        <w:t xml:space="preserve"> </w:t>
      </w:r>
      <w:r w:rsidR="00F07475" w:rsidRPr="1A4575C6">
        <w:rPr>
          <w:rFonts w:eastAsia="SimSun"/>
          <w:sz w:val="20"/>
          <w:szCs w:val="20"/>
          <w:u w:val="single"/>
        </w:rPr>
        <w:t xml:space="preserve">increasing program enrollment, program completion, </w:t>
      </w:r>
      <w:r w:rsidR="6C0C3F5F" w:rsidRPr="1A4575C6">
        <w:rPr>
          <w:rFonts w:eastAsia="SimSun"/>
          <w:sz w:val="20"/>
          <w:szCs w:val="20"/>
          <w:u w:val="single"/>
        </w:rPr>
        <w:t xml:space="preserve">and </w:t>
      </w:r>
      <w:r w:rsidR="00F07475" w:rsidRPr="1A4575C6">
        <w:rPr>
          <w:rFonts w:eastAsia="SimSun"/>
          <w:sz w:val="20"/>
          <w:szCs w:val="20"/>
          <w:u w:val="single"/>
        </w:rPr>
        <w:t xml:space="preserve">licensure exam passage rates; </w:t>
      </w:r>
      <w:r w:rsidRPr="1A4575C6">
        <w:rPr>
          <w:rFonts w:eastAsia="SimSun"/>
          <w:sz w:val="20"/>
          <w:szCs w:val="20"/>
        </w:rPr>
        <w:t>equipment</w:t>
      </w:r>
      <w:r w:rsidR="00F07475" w:rsidRPr="1A4575C6">
        <w:rPr>
          <w:rFonts w:eastAsia="SimSun"/>
          <w:sz w:val="20"/>
          <w:szCs w:val="20"/>
          <w:u w:val="single"/>
        </w:rPr>
        <w:t>;</w:t>
      </w:r>
      <w:r w:rsidRPr="1A4575C6">
        <w:rPr>
          <w:rFonts w:eastAsia="SimSun"/>
          <w:sz w:val="20"/>
          <w:szCs w:val="20"/>
        </w:rPr>
        <w:t xml:space="preserve"> </w:t>
      </w:r>
      <w:r w:rsidRPr="1A4575C6">
        <w:rPr>
          <w:rFonts w:eastAsia="SimSun"/>
          <w:strike/>
          <w:sz w:val="20"/>
          <w:szCs w:val="20"/>
        </w:rPr>
        <w:t>and</w:t>
      </w:r>
      <w:r w:rsidRPr="1A4575C6">
        <w:rPr>
          <w:rFonts w:eastAsia="SimSun"/>
          <w:sz w:val="20"/>
          <w:szCs w:val="20"/>
        </w:rPr>
        <w:t xml:space="preserve"> simulation centers</w:t>
      </w:r>
      <w:r w:rsidR="00F07475" w:rsidRPr="1A4575C6">
        <w:rPr>
          <w:rFonts w:eastAsia="SimSun"/>
          <w:sz w:val="20"/>
          <w:szCs w:val="20"/>
          <w:u w:val="single"/>
        </w:rPr>
        <w:t>;</w:t>
      </w:r>
      <w:r w:rsidR="00F07475" w:rsidRPr="1A4575C6">
        <w:rPr>
          <w:rFonts w:eastAsia="SimSun"/>
          <w:sz w:val="20"/>
          <w:szCs w:val="20"/>
        </w:rPr>
        <w:t xml:space="preserve"> </w:t>
      </w:r>
      <w:r w:rsidR="00F07475" w:rsidRPr="1A4575C6">
        <w:rPr>
          <w:rFonts w:eastAsia="SimSun"/>
          <w:sz w:val="20"/>
          <w:szCs w:val="20"/>
          <w:u w:val="single"/>
        </w:rPr>
        <w:t>and internships</w:t>
      </w:r>
      <w:r w:rsidRPr="1A4575C6">
        <w:rPr>
          <w:rFonts w:eastAsia="SimSun"/>
          <w:sz w:val="20"/>
          <w:szCs w:val="20"/>
        </w:rPr>
        <w:t xml:space="preserve">. </w:t>
      </w:r>
      <w:r w:rsidR="00682889" w:rsidRPr="1A4575C6">
        <w:rPr>
          <w:rFonts w:eastAsia="SimSun"/>
          <w:sz w:val="20"/>
          <w:szCs w:val="20"/>
          <w:u w:val="single"/>
        </w:rPr>
        <w:t xml:space="preserve">Funds may not be used for the construction of new buildings, but may be used to expand, retrofit, or upgrade existing facilities if the </w:t>
      </w:r>
      <w:r w:rsidR="00682889" w:rsidRPr="1A4575C6">
        <w:rPr>
          <w:rFonts w:eastAsia="SimSun"/>
          <w:sz w:val="20"/>
          <w:szCs w:val="20"/>
          <w:u w:val="single"/>
        </w:rPr>
        <w:lastRenderedPageBreak/>
        <w:t xml:space="preserve">proposal will </w:t>
      </w:r>
      <w:r w:rsidR="00830652" w:rsidRPr="1A4575C6">
        <w:rPr>
          <w:rFonts w:eastAsia="SimSun"/>
          <w:sz w:val="20"/>
          <w:szCs w:val="20"/>
          <w:u w:val="single"/>
        </w:rPr>
        <w:t>either increase</w:t>
      </w:r>
      <w:r w:rsidR="00682889" w:rsidRPr="1A4575C6">
        <w:rPr>
          <w:rFonts w:eastAsia="SimSun"/>
          <w:sz w:val="20"/>
          <w:szCs w:val="20"/>
          <w:u w:val="single"/>
        </w:rPr>
        <w:t xml:space="preserve"> enrollment or improve </w:t>
      </w:r>
      <w:r w:rsidR="00830652" w:rsidRPr="1A4575C6">
        <w:rPr>
          <w:rFonts w:eastAsia="SimSun"/>
          <w:sz w:val="20"/>
          <w:szCs w:val="20"/>
          <w:u w:val="single"/>
        </w:rPr>
        <w:t>the</w:t>
      </w:r>
      <w:r w:rsidR="00682889" w:rsidRPr="1A4575C6">
        <w:rPr>
          <w:rFonts w:eastAsia="SimSun"/>
          <w:sz w:val="20"/>
          <w:szCs w:val="20"/>
          <w:u w:val="single"/>
        </w:rPr>
        <w:t xml:space="preserve"> educational space for an institution’s nursing education students</w:t>
      </w:r>
      <w:r w:rsidR="00682889" w:rsidRPr="1A4575C6">
        <w:rPr>
          <w:rFonts w:eastAsia="SimSun"/>
          <w:sz w:val="20"/>
          <w:szCs w:val="20"/>
        </w:rPr>
        <w:t xml:space="preserve">. </w:t>
      </w:r>
      <w:r w:rsidR="00E745C4" w:rsidRPr="1A4575C6">
        <w:rPr>
          <w:rFonts w:eastAsia="SimSun"/>
          <w:strike/>
          <w:sz w:val="20"/>
          <w:szCs w:val="20"/>
        </w:rPr>
        <w:t>Construction of new facilities is not considered eligible.</w:t>
      </w:r>
    </w:p>
    <w:p w14:paraId="54D6D616" w14:textId="2F55C1CD" w:rsidR="00214278" w:rsidRPr="00892A9E" w:rsidRDefault="00214278" w:rsidP="00B43A31">
      <w:pPr>
        <w:widowControl w:val="0"/>
        <w:spacing w:line="480" w:lineRule="auto"/>
        <w:ind w:left="360"/>
        <w:rPr>
          <w:rFonts w:eastAsia="SimSun"/>
          <w:sz w:val="20"/>
          <w:szCs w:val="20"/>
        </w:rPr>
      </w:pPr>
      <w:r w:rsidRPr="1A4575C6">
        <w:rPr>
          <w:rFonts w:eastAsia="SimSun"/>
          <w:sz w:val="20"/>
          <w:szCs w:val="20"/>
        </w:rPr>
        <w:t>(</w:t>
      </w:r>
      <w:r w:rsidR="28172371" w:rsidRPr="1A4575C6">
        <w:rPr>
          <w:rFonts w:eastAsia="SimSun"/>
          <w:sz w:val="20"/>
          <w:szCs w:val="20"/>
        </w:rPr>
        <w:t>g</w:t>
      </w:r>
      <w:r w:rsidRPr="1A4575C6">
        <w:rPr>
          <w:rFonts w:eastAsia="SimSun"/>
          <w:strike/>
          <w:sz w:val="20"/>
          <w:szCs w:val="20"/>
        </w:rPr>
        <w:t>f</w:t>
      </w:r>
      <w:r w:rsidRPr="1A4575C6">
        <w:rPr>
          <w:rFonts w:eastAsia="SimSun"/>
          <w:sz w:val="20"/>
          <w:szCs w:val="20"/>
        </w:rPr>
        <w:t xml:space="preserve">) “Match” means the LINE funds provided to the </w:t>
      </w:r>
      <w:r w:rsidR="00682889" w:rsidRPr="1A4575C6">
        <w:rPr>
          <w:rFonts w:eastAsia="SimSun"/>
          <w:sz w:val="20"/>
          <w:szCs w:val="20"/>
        </w:rPr>
        <w:t>institution</w:t>
      </w:r>
      <w:r w:rsidRPr="1A4575C6">
        <w:rPr>
          <w:rFonts w:eastAsia="SimSun"/>
          <w:sz w:val="20"/>
          <w:szCs w:val="20"/>
        </w:rPr>
        <w:t xml:space="preserve"> on a dollar-to-dollar basis, subject to funds availability, to the health care partner’s contribution.</w:t>
      </w:r>
    </w:p>
    <w:p w14:paraId="76695347" w14:textId="36E37223" w:rsidR="00F23535" w:rsidRPr="00892A9E" w:rsidRDefault="00214278" w:rsidP="00B43A31">
      <w:pPr>
        <w:widowControl w:val="0"/>
        <w:spacing w:line="480" w:lineRule="auto"/>
        <w:ind w:left="360"/>
        <w:rPr>
          <w:rFonts w:eastAsia="SimSun"/>
          <w:sz w:val="20"/>
          <w:szCs w:val="20"/>
          <w:u w:val="single"/>
        </w:rPr>
      </w:pPr>
      <w:r w:rsidRPr="1A4575C6">
        <w:rPr>
          <w:rFonts w:eastAsia="SimSun"/>
          <w:sz w:val="20"/>
          <w:szCs w:val="20"/>
        </w:rPr>
        <w:t>(</w:t>
      </w:r>
      <w:r w:rsidR="45046235" w:rsidRPr="1A4575C6">
        <w:rPr>
          <w:rFonts w:eastAsia="SimSun"/>
          <w:sz w:val="20"/>
          <w:szCs w:val="20"/>
        </w:rPr>
        <w:t>h</w:t>
      </w:r>
      <w:r w:rsidR="00F72C07" w:rsidRPr="1A4575C6">
        <w:rPr>
          <w:rFonts w:eastAsia="SimSun"/>
          <w:strike/>
          <w:sz w:val="20"/>
          <w:szCs w:val="20"/>
        </w:rPr>
        <w:t>g</w:t>
      </w:r>
      <w:r w:rsidRPr="1A4575C6">
        <w:rPr>
          <w:rFonts w:eastAsia="SimSun"/>
          <w:sz w:val="20"/>
          <w:szCs w:val="20"/>
        </w:rPr>
        <w:t xml:space="preserve">) </w:t>
      </w:r>
      <w:r w:rsidR="73FA9089" w:rsidRPr="1A4575C6">
        <w:rPr>
          <w:rFonts w:eastAsia="SimSun"/>
          <w:sz w:val="20"/>
          <w:szCs w:val="20"/>
        </w:rPr>
        <w:t xml:space="preserve">Contribution </w:t>
      </w:r>
      <w:r w:rsidRPr="1A4575C6">
        <w:rPr>
          <w:rFonts w:eastAsia="SimSun"/>
          <w:strike/>
          <w:sz w:val="20"/>
          <w:szCs w:val="20"/>
        </w:rPr>
        <w:t>“Health care partner’s</w:t>
      </w:r>
      <w:r w:rsidRPr="1A4575C6">
        <w:rPr>
          <w:rFonts w:eastAsia="SimSun"/>
          <w:sz w:val="20"/>
          <w:szCs w:val="20"/>
        </w:rPr>
        <w:t xml:space="preserve"> means </w:t>
      </w:r>
      <w:r w:rsidRPr="1A4575C6">
        <w:rPr>
          <w:rFonts w:eastAsia="SimSun"/>
          <w:sz w:val="20"/>
          <w:szCs w:val="20"/>
          <w:u w:val="single"/>
        </w:rPr>
        <w:t xml:space="preserve">the </w:t>
      </w:r>
      <w:r w:rsidR="33684051" w:rsidRPr="1A4575C6">
        <w:rPr>
          <w:rFonts w:eastAsia="SimSun"/>
          <w:sz w:val="20"/>
          <w:szCs w:val="20"/>
          <w:u w:val="single"/>
        </w:rPr>
        <w:t>monetary</w:t>
      </w:r>
      <w:r w:rsidR="33684051" w:rsidRPr="1A4575C6">
        <w:rPr>
          <w:rFonts w:eastAsia="SimSun"/>
          <w:sz w:val="20"/>
          <w:szCs w:val="20"/>
        </w:rPr>
        <w:t xml:space="preserve"> </w:t>
      </w:r>
      <w:r w:rsidRPr="1A4575C6">
        <w:rPr>
          <w:rFonts w:eastAsia="SimSun"/>
          <w:strike/>
          <w:sz w:val="20"/>
          <w:szCs w:val="20"/>
        </w:rPr>
        <w:t>dollars</w:t>
      </w:r>
      <w:r w:rsidR="005F21B1" w:rsidRPr="1A4575C6">
        <w:rPr>
          <w:rFonts w:eastAsia="SimSun"/>
          <w:sz w:val="20"/>
          <w:szCs w:val="20"/>
        </w:rPr>
        <w:t xml:space="preserve"> </w:t>
      </w:r>
      <w:r w:rsidR="005F21B1" w:rsidRPr="1A4575C6">
        <w:rPr>
          <w:rFonts w:eastAsia="SimSun"/>
          <w:sz w:val="20"/>
          <w:szCs w:val="20"/>
          <w:u w:val="single"/>
        </w:rPr>
        <w:t>or nonmonetary contributions</w:t>
      </w:r>
      <w:r w:rsidRPr="1A4575C6">
        <w:rPr>
          <w:rFonts w:eastAsia="SimSun"/>
          <w:sz w:val="20"/>
          <w:szCs w:val="20"/>
        </w:rPr>
        <w:t xml:space="preserve"> provided by an eligible health care partner </w:t>
      </w:r>
      <w:r w:rsidR="00F07475" w:rsidRPr="1A4575C6">
        <w:rPr>
          <w:rFonts w:eastAsia="SimSun"/>
          <w:sz w:val="20"/>
          <w:szCs w:val="20"/>
          <w:u w:val="single"/>
        </w:rPr>
        <w:t>or other person or entity</w:t>
      </w:r>
      <w:r w:rsidR="00F07475" w:rsidRPr="1A4575C6">
        <w:rPr>
          <w:rFonts w:eastAsia="SimSun"/>
          <w:sz w:val="20"/>
          <w:szCs w:val="20"/>
        </w:rPr>
        <w:t xml:space="preserve"> </w:t>
      </w:r>
      <w:r w:rsidRPr="1A4575C6">
        <w:rPr>
          <w:rFonts w:eastAsia="SimSun"/>
          <w:sz w:val="20"/>
          <w:szCs w:val="20"/>
        </w:rPr>
        <w:t>to an eligible postsecondary institution.</w:t>
      </w:r>
    </w:p>
    <w:p w14:paraId="41ACBD95" w14:textId="7624DC28" w:rsidR="00214278" w:rsidRPr="00892A9E" w:rsidRDefault="00095094" w:rsidP="00B43A31">
      <w:pPr>
        <w:widowControl w:val="0"/>
        <w:spacing w:line="480" w:lineRule="auto"/>
        <w:ind w:left="360"/>
        <w:textAlignment w:val="baseline"/>
        <w:rPr>
          <w:sz w:val="20"/>
          <w:szCs w:val="20"/>
        </w:rPr>
      </w:pPr>
      <w:r w:rsidRPr="620697A3">
        <w:rPr>
          <w:rFonts w:eastAsia="SimSun"/>
          <w:sz w:val="20"/>
          <w:szCs w:val="20"/>
        </w:rPr>
        <w:t>(</w:t>
      </w:r>
      <w:r w:rsidR="00214278" w:rsidRPr="620697A3">
        <w:rPr>
          <w:rFonts w:eastAsia="SimSun"/>
          <w:sz w:val="20"/>
          <w:szCs w:val="20"/>
        </w:rPr>
        <w:t>3</w:t>
      </w:r>
      <w:r w:rsidRPr="620697A3">
        <w:rPr>
          <w:rFonts w:eastAsia="SimSun"/>
          <w:sz w:val="20"/>
          <w:szCs w:val="20"/>
        </w:rPr>
        <w:t>)</w:t>
      </w:r>
      <w:r w:rsidR="00F23535" w:rsidRPr="620697A3">
        <w:rPr>
          <w:rFonts w:eastAsia="SimSun"/>
          <w:sz w:val="20"/>
          <w:szCs w:val="20"/>
        </w:rPr>
        <w:t xml:space="preserve"> </w:t>
      </w:r>
      <w:r w:rsidR="00214278" w:rsidRPr="620697A3">
        <w:rPr>
          <w:rFonts w:eastAsia="SimSun"/>
          <w:sz w:val="20"/>
          <w:szCs w:val="20"/>
        </w:rPr>
        <w:t xml:space="preserve">Notification of Funding Opportunity. </w:t>
      </w:r>
      <w:r w:rsidR="00214278" w:rsidRPr="620697A3">
        <w:rPr>
          <w:sz w:val="20"/>
          <w:szCs w:val="20"/>
        </w:rPr>
        <w:t xml:space="preserve">Each year that the LINE Fund is funded by the legislature, the Department will publish notice of the availability of grants and Request for </w:t>
      </w:r>
      <w:proofErr w:type="gramStart"/>
      <w:r w:rsidR="00214278" w:rsidRPr="620697A3">
        <w:rPr>
          <w:sz w:val="20"/>
          <w:szCs w:val="20"/>
        </w:rPr>
        <w:t xml:space="preserve">Proposals at </w:t>
      </w:r>
      <w:r w:rsidR="00214278" w:rsidRPr="620697A3">
        <w:rPr>
          <w:rFonts w:eastAsia="SimSun"/>
          <w:sz w:val="20"/>
          <w:szCs w:val="20"/>
        </w:rPr>
        <w:t>https://www.fldoe.org/academics/career-adult-edu/funding-opportunities</w:t>
      </w:r>
      <w:proofErr w:type="gramEnd"/>
      <w:r w:rsidR="00214278" w:rsidRPr="620697A3">
        <w:rPr>
          <w:sz w:val="20"/>
          <w:szCs w:val="20"/>
        </w:rPr>
        <w:t xml:space="preserve"> </w:t>
      </w:r>
      <w:proofErr w:type="spellStart"/>
      <w:proofErr w:type="gramStart"/>
      <w:r w:rsidR="00214278" w:rsidRPr="620697A3">
        <w:rPr>
          <w:sz w:val="20"/>
          <w:szCs w:val="20"/>
        </w:rPr>
        <w:t>at</w:t>
      </w:r>
      <w:proofErr w:type="spellEnd"/>
      <w:r w:rsidR="00214278" w:rsidRPr="620697A3">
        <w:rPr>
          <w:sz w:val="20"/>
          <w:szCs w:val="20"/>
        </w:rPr>
        <w:t xml:space="preserve"> least fifteen (15) days prior to the notice of intent submission.</w:t>
      </w:r>
      <w:proofErr w:type="gramEnd"/>
      <w:r w:rsidR="00214278" w:rsidRPr="620697A3">
        <w:rPr>
          <w:sz w:val="20"/>
          <w:szCs w:val="20"/>
        </w:rPr>
        <w:t xml:space="preserve"> The notification of funding opportunity will include:</w:t>
      </w:r>
    </w:p>
    <w:p w14:paraId="1AF1E176" w14:textId="4E9E7FDB" w:rsidR="00214278" w:rsidRPr="00892A9E" w:rsidRDefault="00214278" w:rsidP="00B43A31">
      <w:pPr>
        <w:widowControl w:val="0"/>
        <w:spacing w:line="480" w:lineRule="auto"/>
        <w:ind w:left="360"/>
        <w:textAlignment w:val="baseline"/>
        <w:rPr>
          <w:sz w:val="20"/>
          <w:szCs w:val="20"/>
        </w:rPr>
      </w:pPr>
      <w:r w:rsidRPr="620697A3">
        <w:rPr>
          <w:sz w:val="20"/>
          <w:szCs w:val="20"/>
        </w:rPr>
        <w:t>(a) Grant period.</w:t>
      </w:r>
    </w:p>
    <w:p w14:paraId="4C6327A9" w14:textId="319BD7EA" w:rsidR="00214278" w:rsidRPr="00892A9E" w:rsidRDefault="00214278" w:rsidP="00B43A31">
      <w:pPr>
        <w:widowControl w:val="0"/>
        <w:spacing w:line="480" w:lineRule="auto"/>
        <w:ind w:left="360"/>
        <w:textAlignment w:val="baseline"/>
        <w:rPr>
          <w:sz w:val="20"/>
          <w:szCs w:val="20"/>
        </w:rPr>
      </w:pPr>
      <w:r w:rsidRPr="620697A3">
        <w:rPr>
          <w:sz w:val="20"/>
          <w:szCs w:val="20"/>
        </w:rPr>
        <w:t>(b) Date to submit a notice of intent to apply for a grant. The notice of intent will be due fifteen (15) days following publication of the notification of funding opportunity.</w:t>
      </w:r>
    </w:p>
    <w:p w14:paraId="12F5564A" w14:textId="42B7004D" w:rsidR="00214278" w:rsidRPr="00892A9E" w:rsidRDefault="00214278" w:rsidP="00B43A31">
      <w:pPr>
        <w:widowControl w:val="0"/>
        <w:spacing w:line="480" w:lineRule="auto"/>
        <w:ind w:left="360"/>
        <w:textAlignment w:val="baseline"/>
        <w:rPr>
          <w:sz w:val="20"/>
          <w:szCs w:val="20"/>
        </w:rPr>
      </w:pPr>
      <w:r w:rsidRPr="620697A3">
        <w:rPr>
          <w:sz w:val="20"/>
          <w:szCs w:val="20"/>
        </w:rPr>
        <w:t xml:space="preserve">(c) Deadline to apply for the grant. Proposals will be accepted as early as thirty (30) days following the notice of </w:t>
      </w:r>
      <w:proofErr w:type="gramStart"/>
      <w:r w:rsidRPr="620697A3">
        <w:rPr>
          <w:sz w:val="20"/>
          <w:szCs w:val="20"/>
        </w:rPr>
        <w:t>intent</w:t>
      </w:r>
      <w:proofErr w:type="gramEnd"/>
      <w:r w:rsidRPr="620697A3">
        <w:rPr>
          <w:sz w:val="20"/>
          <w:szCs w:val="20"/>
        </w:rPr>
        <w:t xml:space="preserve"> deadline.</w:t>
      </w:r>
    </w:p>
    <w:p w14:paraId="68FC0AD4" w14:textId="01937114" w:rsidR="00214278" w:rsidRPr="00892A9E" w:rsidRDefault="00214278" w:rsidP="00B43A31">
      <w:pPr>
        <w:widowControl w:val="0"/>
        <w:spacing w:line="480" w:lineRule="auto"/>
        <w:ind w:left="360"/>
        <w:textAlignment w:val="baseline"/>
        <w:rPr>
          <w:sz w:val="20"/>
          <w:szCs w:val="20"/>
        </w:rPr>
      </w:pPr>
      <w:r w:rsidRPr="620697A3">
        <w:rPr>
          <w:sz w:val="20"/>
          <w:szCs w:val="20"/>
        </w:rPr>
        <w:t>(d) The dollar amount of available grant funds.</w:t>
      </w:r>
    </w:p>
    <w:p w14:paraId="28385ED4" w14:textId="606BB188" w:rsidR="00214278" w:rsidRPr="00892A9E" w:rsidRDefault="00214278" w:rsidP="00B43A31">
      <w:pPr>
        <w:widowControl w:val="0"/>
        <w:spacing w:line="480" w:lineRule="auto"/>
        <w:ind w:left="360"/>
        <w:textAlignment w:val="baseline"/>
        <w:rPr>
          <w:sz w:val="20"/>
          <w:szCs w:val="20"/>
        </w:rPr>
      </w:pPr>
      <w:r w:rsidRPr="620697A3">
        <w:rPr>
          <w:sz w:val="20"/>
          <w:szCs w:val="20"/>
        </w:rPr>
        <w:t>(4) Proposals. If funds are designated in the General Appropriations Act, the Department shall solicit proposals for LINE funds. To be eligible for an allocation, proposals must include the following components which will be used to prioritize funding along with the criteria established in subsection (5).</w:t>
      </w:r>
    </w:p>
    <w:p w14:paraId="159AAF81" w14:textId="32E26DA9" w:rsidR="00BC46AB" w:rsidRPr="00892A9E" w:rsidRDefault="00BC46AB" w:rsidP="00B43A31">
      <w:pPr>
        <w:widowControl w:val="0"/>
        <w:spacing w:line="480" w:lineRule="auto"/>
        <w:ind w:left="360"/>
        <w:rPr>
          <w:sz w:val="20"/>
          <w:szCs w:val="20"/>
          <w:u w:val="single"/>
        </w:rPr>
      </w:pPr>
      <w:r w:rsidRPr="1A4575C6">
        <w:rPr>
          <w:sz w:val="20"/>
          <w:szCs w:val="20"/>
          <w:u w:val="single"/>
        </w:rPr>
        <w:t xml:space="preserve">(a)To participate, an institution’s president, chief administrative officer, or designee must submit a timely and completed proposal </w:t>
      </w:r>
      <w:r w:rsidR="7A962596" w:rsidRPr="1A4575C6">
        <w:rPr>
          <w:sz w:val="20"/>
          <w:szCs w:val="20"/>
          <w:u w:val="single"/>
        </w:rPr>
        <w:t xml:space="preserve">to the </w:t>
      </w:r>
      <w:r w:rsidRPr="1A4575C6">
        <w:rPr>
          <w:sz w:val="20"/>
          <w:szCs w:val="20"/>
          <w:u w:val="single"/>
        </w:rPr>
        <w:t xml:space="preserve">Department in a format prescribed by </w:t>
      </w:r>
      <w:r w:rsidR="21D88861" w:rsidRPr="1A4575C6">
        <w:rPr>
          <w:sz w:val="20"/>
          <w:szCs w:val="20"/>
          <w:u w:val="single"/>
        </w:rPr>
        <w:t xml:space="preserve">the </w:t>
      </w:r>
      <w:r w:rsidR="3FE4448F" w:rsidRPr="1A4575C6">
        <w:rPr>
          <w:sz w:val="20"/>
          <w:szCs w:val="20"/>
          <w:u w:val="single"/>
        </w:rPr>
        <w:t xml:space="preserve">Florida </w:t>
      </w:r>
      <w:r w:rsidRPr="1A4575C6">
        <w:rPr>
          <w:sz w:val="20"/>
          <w:szCs w:val="20"/>
          <w:u w:val="single"/>
        </w:rPr>
        <w:t>Department of Education</w:t>
      </w:r>
      <w:r w:rsidR="0561E6C9" w:rsidRPr="1A4575C6">
        <w:rPr>
          <w:sz w:val="20"/>
          <w:szCs w:val="20"/>
          <w:u w:val="single"/>
        </w:rPr>
        <w:t>.</w:t>
      </w:r>
    </w:p>
    <w:p w14:paraId="6A4B9C16" w14:textId="1065BD59" w:rsidR="00214278" w:rsidRPr="00892A9E" w:rsidRDefault="00214278" w:rsidP="00B43A31">
      <w:pPr>
        <w:widowControl w:val="0"/>
        <w:spacing w:line="480" w:lineRule="auto"/>
        <w:ind w:left="360"/>
        <w:textAlignment w:val="baseline"/>
        <w:rPr>
          <w:sz w:val="20"/>
          <w:szCs w:val="20"/>
        </w:rPr>
      </w:pPr>
      <w:r w:rsidRPr="1A4575C6">
        <w:rPr>
          <w:sz w:val="20"/>
          <w:szCs w:val="20"/>
        </w:rPr>
        <w:t>(</w:t>
      </w:r>
      <w:proofErr w:type="spellStart"/>
      <w:r w:rsidR="0B84E43E" w:rsidRPr="1A4575C6">
        <w:rPr>
          <w:sz w:val="20"/>
          <w:szCs w:val="20"/>
        </w:rPr>
        <w:t>b</w:t>
      </w:r>
      <w:r w:rsidRPr="1A4575C6">
        <w:rPr>
          <w:strike/>
          <w:sz w:val="20"/>
          <w:szCs w:val="20"/>
        </w:rPr>
        <w:t>a</w:t>
      </w:r>
      <w:proofErr w:type="spellEnd"/>
      <w:r w:rsidRPr="1A4575C6">
        <w:rPr>
          <w:sz w:val="20"/>
          <w:szCs w:val="20"/>
        </w:rPr>
        <w:t>)</w:t>
      </w:r>
      <w:r w:rsidR="00BC46AB" w:rsidRPr="1A4575C6">
        <w:rPr>
          <w:sz w:val="20"/>
          <w:szCs w:val="20"/>
          <w:u w:val="single"/>
        </w:rPr>
        <w:t xml:space="preserve"> </w:t>
      </w:r>
      <w:r w:rsidRPr="1A4575C6">
        <w:rPr>
          <w:sz w:val="20"/>
          <w:szCs w:val="20"/>
        </w:rPr>
        <w:t>The total amount of LINE funds requested and a detailed budget for the expenditure of these funds, including personnel costs, operating expenses, equipment costs and training expenses, and other allowable expenses.</w:t>
      </w:r>
    </w:p>
    <w:p w14:paraId="71AFE8FB" w14:textId="2A1DB1D6" w:rsidR="00214278" w:rsidRPr="00892A9E" w:rsidRDefault="00214278" w:rsidP="00B43A31">
      <w:pPr>
        <w:widowControl w:val="0"/>
        <w:spacing w:line="480" w:lineRule="auto"/>
        <w:ind w:left="360"/>
        <w:rPr>
          <w:sz w:val="20"/>
          <w:szCs w:val="20"/>
        </w:rPr>
      </w:pPr>
      <w:r w:rsidRPr="1A4575C6">
        <w:rPr>
          <w:sz w:val="20"/>
          <w:szCs w:val="20"/>
        </w:rPr>
        <w:t>(</w:t>
      </w:r>
      <w:proofErr w:type="spellStart"/>
      <w:r w:rsidR="67359073" w:rsidRPr="1A4575C6">
        <w:rPr>
          <w:sz w:val="20"/>
          <w:szCs w:val="20"/>
        </w:rPr>
        <w:t>c</w:t>
      </w:r>
      <w:r w:rsidRPr="1A4575C6">
        <w:rPr>
          <w:strike/>
          <w:sz w:val="20"/>
          <w:szCs w:val="20"/>
        </w:rPr>
        <w:t>b</w:t>
      </w:r>
      <w:proofErr w:type="spellEnd"/>
      <w:r w:rsidRPr="1A4575C6">
        <w:rPr>
          <w:sz w:val="20"/>
          <w:szCs w:val="20"/>
        </w:rPr>
        <w:t xml:space="preserve">)Narrative explaining how the institution plans to use the </w:t>
      </w:r>
      <w:r w:rsidR="4328B2FB" w:rsidRPr="1A4575C6">
        <w:rPr>
          <w:strike/>
          <w:sz w:val="20"/>
          <w:szCs w:val="20"/>
        </w:rPr>
        <w:t>health care partner</w:t>
      </w:r>
      <w:r w:rsidR="6257E134" w:rsidRPr="1A4575C6">
        <w:rPr>
          <w:strike/>
          <w:sz w:val="20"/>
          <w:szCs w:val="20"/>
        </w:rPr>
        <w:t xml:space="preserve"> </w:t>
      </w:r>
      <w:r w:rsidR="4328B2FB" w:rsidRPr="1A4575C6">
        <w:rPr>
          <w:sz w:val="20"/>
          <w:szCs w:val="20"/>
          <w:u w:val="single"/>
        </w:rPr>
        <w:t>contributor’s</w:t>
      </w:r>
      <w:r w:rsidRPr="1A4575C6">
        <w:rPr>
          <w:sz w:val="20"/>
          <w:szCs w:val="20"/>
        </w:rPr>
        <w:t xml:space="preserve"> contribution and LINE matching funds to address the criteria in subsection (5). </w:t>
      </w:r>
      <w:r w:rsidR="002C63F8" w:rsidRPr="1A4575C6">
        <w:rPr>
          <w:sz w:val="20"/>
          <w:szCs w:val="20"/>
          <w:u w:val="single"/>
        </w:rPr>
        <w:t xml:space="preserve">The narrative must </w:t>
      </w:r>
      <w:r w:rsidR="7A7E7317" w:rsidRPr="1A4575C6">
        <w:rPr>
          <w:sz w:val="20"/>
          <w:szCs w:val="20"/>
          <w:u w:val="single"/>
        </w:rPr>
        <w:t xml:space="preserve">outline </w:t>
      </w:r>
      <w:r w:rsidR="002C63F8" w:rsidRPr="1A4575C6">
        <w:rPr>
          <w:sz w:val="20"/>
          <w:szCs w:val="20"/>
          <w:u w:val="single"/>
        </w:rPr>
        <w:t>how the institution will improve the likelihood that graduates will successfully join the state or local workforce, either through employment with a health care partner or by other means.</w:t>
      </w:r>
    </w:p>
    <w:p w14:paraId="0489E218" w14:textId="503C2E0E" w:rsidR="00214278" w:rsidRPr="00892A9E" w:rsidRDefault="00214278" w:rsidP="00B43A31">
      <w:pPr>
        <w:widowControl w:val="0"/>
        <w:spacing w:line="480" w:lineRule="auto"/>
        <w:ind w:left="360"/>
        <w:textAlignment w:val="baseline"/>
        <w:rPr>
          <w:sz w:val="20"/>
          <w:szCs w:val="20"/>
        </w:rPr>
      </w:pPr>
      <w:r w:rsidRPr="1A4575C6">
        <w:rPr>
          <w:sz w:val="20"/>
          <w:szCs w:val="20"/>
        </w:rPr>
        <w:t>(</w:t>
      </w:r>
      <w:r w:rsidR="7A196511" w:rsidRPr="1A4575C6">
        <w:rPr>
          <w:sz w:val="20"/>
          <w:szCs w:val="20"/>
        </w:rPr>
        <w:t>d</w:t>
      </w:r>
      <w:r w:rsidRPr="1A4575C6">
        <w:rPr>
          <w:strike/>
          <w:sz w:val="20"/>
          <w:szCs w:val="20"/>
        </w:rPr>
        <w:t>c</w:t>
      </w:r>
      <w:r w:rsidRPr="1A4575C6">
        <w:rPr>
          <w:sz w:val="20"/>
          <w:szCs w:val="20"/>
        </w:rPr>
        <w:t>) Statement of assurances that statutory requirements will be satisfied.</w:t>
      </w:r>
    </w:p>
    <w:p w14:paraId="6735A5CA" w14:textId="590F8221" w:rsidR="009555B2" w:rsidRPr="00892A9E" w:rsidRDefault="00214278" w:rsidP="00B43A31">
      <w:pPr>
        <w:widowControl w:val="0"/>
        <w:spacing w:line="480" w:lineRule="auto"/>
        <w:ind w:left="360"/>
        <w:textAlignment w:val="baseline"/>
        <w:rPr>
          <w:sz w:val="20"/>
          <w:szCs w:val="20"/>
        </w:rPr>
      </w:pPr>
      <w:r w:rsidRPr="1A4575C6">
        <w:rPr>
          <w:sz w:val="20"/>
          <w:szCs w:val="20"/>
        </w:rPr>
        <w:t>(</w:t>
      </w:r>
      <w:r w:rsidR="2973121C" w:rsidRPr="1A4575C6">
        <w:rPr>
          <w:sz w:val="20"/>
          <w:szCs w:val="20"/>
        </w:rPr>
        <w:t>e</w:t>
      </w:r>
      <w:r w:rsidRPr="1A4575C6">
        <w:rPr>
          <w:strike/>
          <w:sz w:val="20"/>
          <w:szCs w:val="20"/>
        </w:rPr>
        <w:t>d</w:t>
      </w:r>
      <w:r w:rsidRPr="1A4575C6">
        <w:rPr>
          <w:sz w:val="20"/>
          <w:szCs w:val="20"/>
        </w:rPr>
        <w:t xml:space="preserve">) </w:t>
      </w:r>
      <w:r w:rsidR="23EA6F08" w:rsidRPr="1A4575C6">
        <w:rPr>
          <w:sz w:val="20"/>
          <w:szCs w:val="20"/>
        </w:rPr>
        <w:t>D</w:t>
      </w:r>
      <w:r w:rsidRPr="1A4575C6">
        <w:rPr>
          <w:sz w:val="20"/>
          <w:szCs w:val="20"/>
        </w:rPr>
        <w:t xml:space="preserve">ocumentation of </w:t>
      </w:r>
      <w:r w:rsidR="16C52E72" w:rsidRPr="1A4575C6">
        <w:rPr>
          <w:sz w:val="20"/>
          <w:szCs w:val="20"/>
          <w:u w:val="single"/>
        </w:rPr>
        <w:t>contributor’s</w:t>
      </w:r>
      <w:r w:rsidR="16C52E72" w:rsidRPr="1A4575C6">
        <w:rPr>
          <w:sz w:val="20"/>
          <w:szCs w:val="20"/>
        </w:rPr>
        <w:t xml:space="preserve"> </w:t>
      </w:r>
      <w:r w:rsidR="16C52E72" w:rsidRPr="1A4575C6">
        <w:rPr>
          <w:sz w:val="20"/>
          <w:szCs w:val="20"/>
          <w:u w:val="single"/>
        </w:rPr>
        <w:t>monetary or nonmonetary</w:t>
      </w:r>
      <w:r w:rsidR="16C52E72" w:rsidRPr="1A4575C6">
        <w:rPr>
          <w:sz w:val="20"/>
          <w:szCs w:val="20"/>
        </w:rPr>
        <w:t xml:space="preserve"> </w:t>
      </w:r>
      <w:r w:rsidRPr="1A4575C6">
        <w:rPr>
          <w:strike/>
          <w:sz w:val="20"/>
          <w:szCs w:val="20"/>
        </w:rPr>
        <w:t xml:space="preserve">health </w:t>
      </w:r>
      <w:r w:rsidRPr="0039752B">
        <w:rPr>
          <w:strike/>
          <w:sz w:val="20"/>
          <w:szCs w:val="20"/>
        </w:rPr>
        <w:t>care partner</w:t>
      </w:r>
      <w:r w:rsidR="007A041D">
        <w:rPr>
          <w:strike/>
          <w:sz w:val="20"/>
          <w:szCs w:val="20"/>
        </w:rPr>
        <w:t>’s</w:t>
      </w:r>
      <w:r w:rsidR="0CF0FA61" w:rsidRPr="0039752B">
        <w:rPr>
          <w:strike/>
          <w:sz w:val="20"/>
          <w:szCs w:val="20"/>
        </w:rPr>
        <w:t xml:space="preserve"> </w:t>
      </w:r>
      <w:r w:rsidRPr="1A4575C6">
        <w:rPr>
          <w:sz w:val="20"/>
          <w:szCs w:val="20"/>
        </w:rPr>
        <w:t>contribution. Documentation must indicate</w:t>
      </w:r>
      <w:r w:rsidR="00F72C07" w:rsidRPr="1A4575C6">
        <w:rPr>
          <w:sz w:val="20"/>
          <w:szCs w:val="20"/>
        </w:rPr>
        <w:t xml:space="preserve"> </w:t>
      </w:r>
      <w:r w:rsidR="00F72C07" w:rsidRPr="1A4575C6">
        <w:rPr>
          <w:sz w:val="20"/>
          <w:szCs w:val="20"/>
          <w:u w:val="single"/>
        </w:rPr>
        <w:lastRenderedPageBreak/>
        <w:t>either</w:t>
      </w:r>
      <w:r w:rsidRPr="1A4575C6">
        <w:rPr>
          <w:sz w:val="20"/>
          <w:szCs w:val="20"/>
        </w:rPr>
        <w:t xml:space="preserve"> the cash amount </w:t>
      </w:r>
      <w:r w:rsidR="00F72C07" w:rsidRPr="1A4575C6">
        <w:rPr>
          <w:sz w:val="20"/>
          <w:szCs w:val="20"/>
          <w:u w:val="single"/>
        </w:rPr>
        <w:t xml:space="preserve">or a signed agreement for a nonmonetary contribution </w:t>
      </w:r>
      <w:r w:rsidRPr="1A4575C6">
        <w:rPr>
          <w:sz w:val="20"/>
          <w:szCs w:val="20"/>
        </w:rPr>
        <w:t xml:space="preserve">the </w:t>
      </w:r>
      <w:r w:rsidR="1F3D609A" w:rsidRPr="1A4575C6">
        <w:rPr>
          <w:sz w:val="20"/>
          <w:szCs w:val="20"/>
          <w:u w:val="single"/>
        </w:rPr>
        <w:t>contributor</w:t>
      </w:r>
      <w:r w:rsidR="1F3D609A" w:rsidRPr="1A4575C6">
        <w:rPr>
          <w:sz w:val="20"/>
          <w:szCs w:val="20"/>
        </w:rPr>
        <w:t xml:space="preserve"> </w:t>
      </w:r>
      <w:r w:rsidR="28BE3F7E" w:rsidRPr="1A4575C6">
        <w:rPr>
          <w:strike/>
          <w:sz w:val="20"/>
          <w:szCs w:val="20"/>
        </w:rPr>
        <w:t>health care partner</w:t>
      </w:r>
      <w:r w:rsidR="2AC657CC" w:rsidRPr="1A4575C6">
        <w:rPr>
          <w:strike/>
          <w:sz w:val="20"/>
          <w:szCs w:val="20"/>
        </w:rPr>
        <w:t xml:space="preserve"> </w:t>
      </w:r>
      <w:r w:rsidRPr="1A4575C6">
        <w:rPr>
          <w:sz w:val="20"/>
          <w:szCs w:val="20"/>
        </w:rPr>
        <w:t>plans to contribute (“pledged”) or has contributed (“fulfilled”).</w:t>
      </w:r>
      <w:r w:rsidR="009555B2" w:rsidRPr="1A4575C6">
        <w:rPr>
          <w:sz w:val="20"/>
          <w:szCs w:val="20"/>
        </w:rPr>
        <w:t xml:space="preserve"> For the contributions, the following conditions apply:</w:t>
      </w:r>
    </w:p>
    <w:p w14:paraId="33ADAF08" w14:textId="77777777" w:rsidR="009555B2" w:rsidRPr="00892A9E" w:rsidRDefault="009555B2" w:rsidP="00B43A31">
      <w:pPr>
        <w:widowControl w:val="0"/>
        <w:spacing w:line="480" w:lineRule="auto"/>
        <w:ind w:left="360"/>
        <w:textAlignment w:val="baseline"/>
        <w:rPr>
          <w:sz w:val="20"/>
          <w:szCs w:val="20"/>
        </w:rPr>
      </w:pPr>
      <w:r w:rsidRPr="491AC1E9">
        <w:rPr>
          <w:sz w:val="20"/>
          <w:szCs w:val="20"/>
          <w:u w:val="single"/>
        </w:rPr>
        <w:t>1.</w:t>
      </w:r>
      <w:r w:rsidR="00214278" w:rsidRPr="491AC1E9">
        <w:rPr>
          <w:sz w:val="20"/>
          <w:szCs w:val="20"/>
        </w:rPr>
        <w:t xml:space="preserve"> If the contribution has been pledged but not been fulfilled at the time of application, acceptable documentation includes a scope of work, copies of irrevocable pledge letters, or letters of intent; the documentation must indicate the timeline for the fulfillment of the contribution.</w:t>
      </w:r>
    </w:p>
    <w:p w14:paraId="38B35E67" w14:textId="6443EC8E" w:rsidR="00214278" w:rsidRPr="00892A9E" w:rsidRDefault="009555B2" w:rsidP="00B43A31">
      <w:pPr>
        <w:widowControl w:val="0"/>
        <w:spacing w:line="480" w:lineRule="auto"/>
        <w:ind w:left="360"/>
        <w:textAlignment w:val="baseline"/>
        <w:rPr>
          <w:sz w:val="20"/>
          <w:szCs w:val="20"/>
        </w:rPr>
      </w:pPr>
      <w:r w:rsidRPr="491AC1E9">
        <w:rPr>
          <w:sz w:val="20"/>
          <w:szCs w:val="20"/>
          <w:u w:val="single"/>
        </w:rPr>
        <w:t>2.</w:t>
      </w:r>
      <w:r w:rsidR="00214278" w:rsidRPr="491AC1E9">
        <w:rPr>
          <w:sz w:val="20"/>
          <w:szCs w:val="20"/>
        </w:rPr>
        <w:t xml:space="preserve"> If the contribution has been pledged and fulfilled at the time of application, acceptable documentation includes financial statements, bank statements, budget reports, or bank letters that show the cash transaction(s).</w:t>
      </w:r>
    </w:p>
    <w:p w14:paraId="2CF6CEEA" w14:textId="38A3CFDB" w:rsidR="009555B2" w:rsidRPr="00892A9E" w:rsidRDefault="009555B2" w:rsidP="00B43A31">
      <w:pPr>
        <w:widowControl w:val="0"/>
        <w:spacing w:line="480" w:lineRule="auto"/>
        <w:ind w:left="360"/>
        <w:textAlignment w:val="baseline"/>
        <w:rPr>
          <w:sz w:val="20"/>
          <w:szCs w:val="20"/>
          <w:u w:val="single"/>
        </w:rPr>
      </w:pPr>
      <w:r w:rsidRPr="491AC1E9">
        <w:rPr>
          <w:sz w:val="20"/>
          <w:szCs w:val="20"/>
          <w:u w:val="single"/>
        </w:rPr>
        <w:t>3.</w:t>
      </w:r>
      <w:r w:rsidRPr="491AC1E9">
        <w:rPr>
          <w:sz w:val="20"/>
          <w:szCs w:val="20"/>
        </w:rPr>
        <w:t xml:space="preserve"> </w:t>
      </w:r>
      <w:r w:rsidR="009A0C79" w:rsidRPr="491AC1E9">
        <w:rPr>
          <w:sz w:val="20"/>
          <w:szCs w:val="20"/>
          <w:u w:val="single"/>
        </w:rPr>
        <w:t>N</w:t>
      </w:r>
      <w:r w:rsidRPr="491AC1E9">
        <w:rPr>
          <w:sz w:val="20"/>
          <w:szCs w:val="20"/>
          <w:u w:val="single"/>
        </w:rPr>
        <w:t>onmonetary contributions are limited to the following:</w:t>
      </w:r>
    </w:p>
    <w:p w14:paraId="136CA7C0" w14:textId="3D642FFF" w:rsidR="009555B2" w:rsidRPr="00892A9E" w:rsidRDefault="009A0C79" w:rsidP="00B43A31">
      <w:pPr>
        <w:widowControl w:val="0"/>
        <w:spacing w:line="480" w:lineRule="auto"/>
        <w:ind w:left="360"/>
        <w:textAlignment w:val="baseline"/>
        <w:rPr>
          <w:sz w:val="20"/>
          <w:szCs w:val="20"/>
          <w:u w:val="single"/>
        </w:rPr>
      </w:pPr>
      <w:r w:rsidRPr="491AC1E9">
        <w:rPr>
          <w:sz w:val="20"/>
          <w:szCs w:val="20"/>
          <w:u w:val="single"/>
        </w:rPr>
        <w:t>a</w:t>
      </w:r>
      <w:r w:rsidR="009555B2" w:rsidRPr="491AC1E9">
        <w:rPr>
          <w:sz w:val="20"/>
          <w:szCs w:val="20"/>
          <w:u w:val="single"/>
        </w:rPr>
        <w:t>. The value of the donated use of health care partner employees as nursing education program instructors or preceptors.</w:t>
      </w:r>
    </w:p>
    <w:p w14:paraId="4A6C21D4" w14:textId="65CCB528" w:rsidR="009555B2" w:rsidRPr="00892A9E" w:rsidRDefault="009A0C79" w:rsidP="00B43A31">
      <w:pPr>
        <w:widowControl w:val="0"/>
        <w:spacing w:line="480" w:lineRule="auto"/>
        <w:ind w:left="360"/>
        <w:textAlignment w:val="baseline"/>
        <w:rPr>
          <w:sz w:val="20"/>
          <w:szCs w:val="20"/>
          <w:u w:val="single"/>
        </w:rPr>
      </w:pPr>
      <w:r w:rsidRPr="3EFAE5D5">
        <w:rPr>
          <w:sz w:val="20"/>
          <w:szCs w:val="20"/>
          <w:u w:val="single"/>
        </w:rPr>
        <w:t>b</w:t>
      </w:r>
      <w:r w:rsidR="009555B2" w:rsidRPr="3EFAE5D5">
        <w:rPr>
          <w:sz w:val="20"/>
          <w:szCs w:val="20"/>
          <w:u w:val="single"/>
        </w:rPr>
        <w:t xml:space="preserve">. The value of the donated use of a health care partner’s space or equipment </w:t>
      </w:r>
      <w:r w:rsidR="00CC014D">
        <w:rPr>
          <w:sz w:val="20"/>
          <w:szCs w:val="20"/>
          <w:u w:val="single"/>
        </w:rPr>
        <w:t>for</w:t>
      </w:r>
      <w:r w:rsidR="009555B2" w:rsidRPr="3EFAE5D5">
        <w:rPr>
          <w:sz w:val="20"/>
          <w:szCs w:val="20"/>
          <w:u w:val="single"/>
        </w:rPr>
        <w:t xml:space="preserve"> a nursing education program.</w:t>
      </w:r>
    </w:p>
    <w:p w14:paraId="315A9AE2" w14:textId="2E0BA2FE" w:rsidR="009555B2" w:rsidRPr="00892A9E" w:rsidRDefault="009A0C79" w:rsidP="00B43A31">
      <w:pPr>
        <w:widowControl w:val="0"/>
        <w:spacing w:line="480" w:lineRule="auto"/>
        <w:ind w:left="360"/>
        <w:textAlignment w:val="baseline"/>
        <w:rPr>
          <w:sz w:val="20"/>
          <w:szCs w:val="20"/>
          <w:u w:val="single"/>
        </w:rPr>
      </w:pPr>
      <w:r w:rsidRPr="491AC1E9">
        <w:rPr>
          <w:sz w:val="20"/>
          <w:szCs w:val="20"/>
          <w:u w:val="single"/>
        </w:rPr>
        <w:t>c</w:t>
      </w:r>
      <w:r w:rsidR="009555B2" w:rsidRPr="491AC1E9">
        <w:rPr>
          <w:sz w:val="20"/>
          <w:szCs w:val="20"/>
          <w:u w:val="single"/>
        </w:rPr>
        <w:t>. The value of the donated educational or simulation equipment.</w:t>
      </w:r>
    </w:p>
    <w:p w14:paraId="7E54BE16" w14:textId="4096326B" w:rsidR="009555B2" w:rsidRPr="00892A9E" w:rsidRDefault="009A0C79" w:rsidP="00B43A31">
      <w:pPr>
        <w:widowControl w:val="0"/>
        <w:spacing w:line="480" w:lineRule="auto"/>
        <w:ind w:left="360"/>
        <w:textAlignment w:val="baseline"/>
        <w:rPr>
          <w:sz w:val="20"/>
          <w:szCs w:val="20"/>
          <w:u w:val="single"/>
        </w:rPr>
      </w:pPr>
      <w:r w:rsidRPr="1A4575C6">
        <w:rPr>
          <w:sz w:val="20"/>
          <w:szCs w:val="20"/>
          <w:u w:val="single"/>
        </w:rPr>
        <w:t>d</w:t>
      </w:r>
      <w:r w:rsidR="009555B2" w:rsidRPr="1A4575C6">
        <w:rPr>
          <w:sz w:val="20"/>
          <w:szCs w:val="20"/>
          <w:u w:val="single"/>
        </w:rPr>
        <w:t xml:space="preserve">. Other similar quantifiable donated goods and services </w:t>
      </w:r>
      <w:r w:rsidR="2ADDC775" w:rsidRPr="1A4575C6">
        <w:rPr>
          <w:sz w:val="20"/>
          <w:szCs w:val="20"/>
          <w:u w:val="single"/>
        </w:rPr>
        <w:t xml:space="preserve">from a contributor </w:t>
      </w:r>
      <w:r w:rsidR="009555B2" w:rsidRPr="1A4575C6">
        <w:rPr>
          <w:sz w:val="20"/>
          <w:szCs w:val="20"/>
          <w:u w:val="single"/>
        </w:rPr>
        <w:t>deemed by the Department as applicable, to be good faith contributions that support the goal</w:t>
      </w:r>
      <w:r w:rsidR="008C7E59">
        <w:rPr>
          <w:sz w:val="20"/>
          <w:szCs w:val="20"/>
          <w:u w:val="single"/>
        </w:rPr>
        <w:t>s</w:t>
      </w:r>
      <w:r w:rsidR="009555B2" w:rsidRPr="1A4575C6">
        <w:rPr>
          <w:sz w:val="20"/>
          <w:szCs w:val="20"/>
          <w:u w:val="single"/>
        </w:rPr>
        <w:t xml:space="preserve"> of the LINE Fund</w:t>
      </w:r>
      <w:r w:rsidR="70759845" w:rsidRPr="1A4575C6">
        <w:rPr>
          <w:color w:val="7030A0"/>
          <w:sz w:val="20"/>
          <w:szCs w:val="20"/>
          <w:u w:val="single"/>
        </w:rPr>
        <w:t xml:space="preserve"> </w:t>
      </w:r>
      <w:r w:rsidR="70759845" w:rsidRPr="008C7E59">
        <w:rPr>
          <w:color w:val="000000" w:themeColor="text1"/>
          <w:sz w:val="20"/>
          <w:szCs w:val="20"/>
          <w:u w:val="single"/>
        </w:rPr>
        <w:t xml:space="preserve">as outlined in </w:t>
      </w:r>
      <w:r w:rsidR="008C7E59" w:rsidRPr="008C7E59">
        <w:rPr>
          <w:color w:val="000000" w:themeColor="text1"/>
          <w:sz w:val="20"/>
          <w:szCs w:val="20"/>
          <w:u w:val="single"/>
        </w:rPr>
        <w:t>sub</w:t>
      </w:r>
      <w:r w:rsidR="70759845" w:rsidRPr="008C7E59">
        <w:rPr>
          <w:color w:val="000000" w:themeColor="text1"/>
          <w:sz w:val="20"/>
          <w:szCs w:val="20"/>
          <w:u w:val="single"/>
        </w:rPr>
        <w:t xml:space="preserve">section </w:t>
      </w:r>
      <w:r w:rsidR="008C7E59" w:rsidRPr="008C7E59">
        <w:rPr>
          <w:color w:val="000000" w:themeColor="text1"/>
          <w:sz w:val="20"/>
          <w:szCs w:val="20"/>
          <w:u w:val="single"/>
        </w:rPr>
        <w:t>1</w:t>
      </w:r>
      <w:r w:rsidR="009555B2" w:rsidRPr="008C7E59">
        <w:rPr>
          <w:color w:val="000000" w:themeColor="text1"/>
          <w:sz w:val="20"/>
          <w:szCs w:val="20"/>
          <w:u w:val="single"/>
        </w:rPr>
        <w:t>.</w:t>
      </w:r>
    </w:p>
    <w:p w14:paraId="5E081C15" w14:textId="2FBF9FF9" w:rsidR="009A0C79" w:rsidRPr="00892A9E" w:rsidRDefault="009A0C79" w:rsidP="00B43A31">
      <w:pPr>
        <w:widowControl w:val="0"/>
        <w:spacing w:line="480" w:lineRule="auto"/>
        <w:ind w:left="360"/>
        <w:textAlignment w:val="baseline"/>
        <w:rPr>
          <w:sz w:val="20"/>
          <w:szCs w:val="20"/>
          <w:u w:val="single"/>
        </w:rPr>
      </w:pPr>
      <w:r w:rsidRPr="3EFAE5D5">
        <w:rPr>
          <w:sz w:val="20"/>
          <w:szCs w:val="20"/>
          <w:u w:val="single"/>
        </w:rPr>
        <w:t xml:space="preserve">4. If the contribution is </w:t>
      </w:r>
      <w:proofErr w:type="gramStart"/>
      <w:r w:rsidRPr="3EFAE5D5">
        <w:rPr>
          <w:sz w:val="20"/>
          <w:szCs w:val="20"/>
          <w:u w:val="single"/>
        </w:rPr>
        <w:t>nonmonetary</w:t>
      </w:r>
      <w:proofErr w:type="gramEnd"/>
      <w:r w:rsidRPr="3EFAE5D5">
        <w:rPr>
          <w:sz w:val="20"/>
          <w:szCs w:val="20"/>
          <w:u w:val="single"/>
        </w:rPr>
        <w:t xml:space="preserve">, then appropriate objective verification of the value of that contribution must be submitted. Acceptable verification may include a third-party </w:t>
      </w:r>
      <w:r w:rsidR="002A0A3B">
        <w:rPr>
          <w:sz w:val="20"/>
          <w:szCs w:val="20"/>
          <w:u w:val="single"/>
        </w:rPr>
        <w:t>appraisal</w:t>
      </w:r>
      <w:r w:rsidRPr="3EFAE5D5">
        <w:rPr>
          <w:sz w:val="20"/>
          <w:szCs w:val="20"/>
          <w:u w:val="single"/>
        </w:rPr>
        <w:t xml:space="preserve">. If the Department determines that the verification provided by the institution is insufficient, it may require a third-party </w:t>
      </w:r>
      <w:r w:rsidR="002A0A3B">
        <w:rPr>
          <w:sz w:val="20"/>
          <w:szCs w:val="20"/>
          <w:u w:val="single"/>
        </w:rPr>
        <w:t>appraisal.</w:t>
      </w:r>
    </w:p>
    <w:p w14:paraId="30C58795" w14:textId="6568DD2F" w:rsidR="005B12E1" w:rsidRDefault="00720A49" w:rsidP="00B43A31">
      <w:pPr>
        <w:widowControl w:val="0"/>
        <w:tabs>
          <w:tab w:val="left" w:pos="1440"/>
        </w:tabs>
        <w:spacing w:line="480" w:lineRule="auto"/>
        <w:ind w:left="360"/>
        <w:rPr>
          <w:rFonts w:eastAsia="SimSun"/>
          <w:sz w:val="20"/>
          <w:szCs w:val="20"/>
          <w:u w:val="single"/>
        </w:rPr>
      </w:pPr>
      <w:r w:rsidRPr="3EFAE5D5">
        <w:rPr>
          <w:sz w:val="20"/>
          <w:szCs w:val="20"/>
          <w:u w:val="single"/>
        </w:rPr>
        <w:t>5</w:t>
      </w:r>
      <w:r w:rsidR="005B12E1" w:rsidRPr="3EFAE5D5">
        <w:rPr>
          <w:sz w:val="20"/>
          <w:szCs w:val="20"/>
          <w:u w:val="single"/>
        </w:rPr>
        <w:t xml:space="preserve">. </w:t>
      </w:r>
      <w:r w:rsidR="005B12E1" w:rsidRPr="3EFAE5D5">
        <w:rPr>
          <w:rFonts w:eastAsia="SimSun"/>
          <w:sz w:val="20"/>
          <w:szCs w:val="20"/>
          <w:u w:val="single"/>
        </w:rPr>
        <w:t xml:space="preserve">A proposal may not be comprised solely of </w:t>
      </w:r>
      <w:proofErr w:type="gramStart"/>
      <w:r w:rsidR="005B12E1" w:rsidRPr="3EFAE5D5">
        <w:rPr>
          <w:rFonts w:eastAsia="SimSun"/>
          <w:sz w:val="20"/>
          <w:szCs w:val="20"/>
          <w:u w:val="single"/>
        </w:rPr>
        <w:t>nonmonetary</w:t>
      </w:r>
      <w:proofErr w:type="gramEnd"/>
      <w:r w:rsidR="005B12E1" w:rsidRPr="3EFAE5D5">
        <w:rPr>
          <w:rFonts w:eastAsia="SimSun"/>
          <w:sz w:val="20"/>
          <w:szCs w:val="20"/>
          <w:u w:val="single"/>
        </w:rPr>
        <w:t xml:space="preserve"> contributions.</w:t>
      </w:r>
    </w:p>
    <w:p w14:paraId="2B14A33A" w14:textId="7F85FF8C" w:rsidR="005F290A" w:rsidRPr="005F290A" w:rsidRDefault="000D0348" w:rsidP="00B43A31">
      <w:pPr>
        <w:widowControl w:val="0"/>
        <w:shd w:val="clear" w:color="auto" w:fill="FFFFFF" w:themeFill="background1"/>
        <w:spacing w:line="480" w:lineRule="auto"/>
        <w:ind w:left="360"/>
        <w:rPr>
          <w:rFonts w:ascii="PT Sans Narrow" w:eastAsia="PT Sans Narrow" w:hAnsi="PT Sans Narrow" w:cs="PT Sans Narrow"/>
          <w:caps/>
          <w:color w:val="000000" w:themeColor="text1"/>
          <w:sz w:val="20"/>
          <w:szCs w:val="20"/>
        </w:rPr>
      </w:pPr>
      <w:r>
        <w:rPr>
          <w:rFonts w:eastAsia="SimSun"/>
          <w:color w:val="000000" w:themeColor="text1"/>
          <w:sz w:val="20"/>
          <w:szCs w:val="20"/>
          <w:u w:val="single"/>
        </w:rPr>
        <w:t>(f)</w:t>
      </w:r>
      <w:r w:rsidR="005F290A" w:rsidRPr="000D0348">
        <w:rPr>
          <w:rFonts w:eastAsia="SimSun"/>
          <w:color w:val="000000" w:themeColor="text1"/>
          <w:sz w:val="20"/>
          <w:szCs w:val="20"/>
          <w:u w:val="single"/>
        </w:rPr>
        <w:t xml:space="preserve"> All</w:t>
      </w:r>
      <w:r w:rsidR="005F290A" w:rsidRPr="005F290A">
        <w:rPr>
          <w:rFonts w:eastAsia="SimSun"/>
          <w:color w:val="000000" w:themeColor="text1"/>
          <w:sz w:val="20"/>
          <w:szCs w:val="20"/>
          <w:u w:val="single"/>
        </w:rPr>
        <w:t xml:space="preserve"> proposals must abide by the Project Application and Amendment Procedures for Federal and State Programs</w:t>
      </w:r>
      <w:r w:rsidR="005F290A" w:rsidRPr="005F290A">
        <w:rPr>
          <w:rFonts w:eastAsia="PT Sans Narrow"/>
          <w:caps/>
          <w:color w:val="000000" w:themeColor="text1"/>
          <w:sz w:val="20"/>
          <w:szCs w:val="20"/>
          <w:u w:val="single"/>
        </w:rPr>
        <w:t xml:space="preserve"> (Green Book).</w:t>
      </w:r>
    </w:p>
    <w:p w14:paraId="54396B49" w14:textId="02FA4A17" w:rsidR="00214278" w:rsidRPr="00892A9E" w:rsidRDefault="00214278" w:rsidP="00B43A31">
      <w:pPr>
        <w:widowControl w:val="0"/>
        <w:spacing w:line="480" w:lineRule="auto"/>
        <w:ind w:left="360"/>
        <w:rPr>
          <w:sz w:val="20"/>
          <w:szCs w:val="20"/>
        </w:rPr>
      </w:pPr>
      <w:r w:rsidRPr="3EFAE5D5">
        <w:rPr>
          <w:sz w:val="20"/>
          <w:szCs w:val="20"/>
        </w:rPr>
        <w:t>(5) Review Process.</w:t>
      </w:r>
    </w:p>
    <w:p w14:paraId="39D5AF81" w14:textId="56F90B0D" w:rsidR="00214278" w:rsidRPr="00892A9E" w:rsidRDefault="00214278" w:rsidP="00B43A31">
      <w:pPr>
        <w:widowControl w:val="0"/>
        <w:spacing w:line="480" w:lineRule="auto"/>
        <w:ind w:left="360"/>
        <w:rPr>
          <w:sz w:val="20"/>
          <w:szCs w:val="20"/>
        </w:rPr>
      </w:pPr>
      <w:r w:rsidRPr="3EFAE5D5">
        <w:rPr>
          <w:sz w:val="20"/>
          <w:szCs w:val="20"/>
        </w:rPr>
        <w:t xml:space="preserve">(a)The Department will evaluate and rank, by institution type, each completed and timely submitted proposal </w:t>
      </w:r>
      <w:proofErr w:type="gramStart"/>
      <w:r w:rsidRPr="3EFAE5D5">
        <w:rPr>
          <w:sz w:val="20"/>
          <w:szCs w:val="20"/>
        </w:rPr>
        <w:t>on</w:t>
      </w:r>
      <w:proofErr w:type="gramEnd"/>
      <w:r w:rsidRPr="3EFAE5D5">
        <w:rPr>
          <w:sz w:val="20"/>
          <w:szCs w:val="20"/>
        </w:rPr>
        <w:t xml:space="preserve"> the extent to which the application supports the following minimum criteria</w:t>
      </w:r>
      <w:r w:rsidR="00F23535" w:rsidRPr="3EFAE5D5">
        <w:rPr>
          <w:sz w:val="20"/>
          <w:szCs w:val="20"/>
          <w:u w:val="single"/>
        </w:rPr>
        <w:t>, where applicable:</w:t>
      </w:r>
    </w:p>
    <w:p w14:paraId="55BAB57D" w14:textId="0AC5C5C0" w:rsidR="00214278" w:rsidRPr="00892A9E" w:rsidRDefault="00214278" w:rsidP="00B43A31">
      <w:pPr>
        <w:widowControl w:val="0"/>
        <w:spacing w:line="480" w:lineRule="auto"/>
        <w:ind w:left="360"/>
        <w:rPr>
          <w:sz w:val="20"/>
          <w:szCs w:val="20"/>
        </w:rPr>
      </w:pPr>
      <w:r w:rsidRPr="1A4575C6">
        <w:rPr>
          <w:sz w:val="20"/>
          <w:szCs w:val="20"/>
        </w:rPr>
        <w:t xml:space="preserve">1. Whether </w:t>
      </w:r>
      <w:r w:rsidR="006349AB" w:rsidRPr="1A4575C6">
        <w:rPr>
          <w:sz w:val="20"/>
          <w:szCs w:val="20"/>
          <w:u w:val="single"/>
        </w:rPr>
        <w:t>monetary and nonmonetary contributions</w:t>
      </w:r>
      <w:r w:rsidRPr="1A4575C6">
        <w:rPr>
          <w:sz w:val="20"/>
          <w:szCs w:val="20"/>
        </w:rPr>
        <w:t xml:space="preserve"> committed by the </w:t>
      </w:r>
      <w:r w:rsidR="1BAB440E" w:rsidRPr="1A4575C6">
        <w:rPr>
          <w:sz w:val="20"/>
          <w:szCs w:val="20"/>
          <w:u w:val="single"/>
        </w:rPr>
        <w:t>contributor</w:t>
      </w:r>
      <w:r w:rsidR="1BAB440E" w:rsidRPr="1A4575C6">
        <w:rPr>
          <w:strike/>
          <w:sz w:val="20"/>
          <w:szCs w:val="20"/>
        </w:rPr>
        <w:t xml:space="preserve"> </w:t>
      </w:r>
      <w:r w:rsidR="2EE5D981" w:rsidRPr="1A4575C6">
        <w:rPr>
          <w:strike/>
          <w:sz w:val="20"/>
          <w:szCs w:val="20"/>
        </w:rPr>
        <w:t>health care partner</w:t>
      </w:r>
      <w:r w:rsidRPr="1A4575C6">
        <w:rPr>
          <w:sz w:val="20"/>
          <w:szCs w:val="20"/>
        </w:rPr>
        <w:t xml:space="preserve"> will contribute to an eligible purpose.</w:t>
      </w:r>
    </w:p>
    <w:p w14:paraId="76D15D24" w14:textId="77777777" w:rsidR="00214278" w:rsidRPr="00892A9E" w:rsidRDefault="00214278" w:rsidP="00B43A31">
      <w:pPr>
        <w:widowControl w:val="0"/>
        <w:spacing w:line="480" w:lineRule="auto"/>
        <w:ind w:left="360"/>
        <w:rPr>
          <w:sz w:val="20"/>
          <w:szCs w:val="20"/>
        </w:rPr>
      </w:pPr>
      <w:r w:rsidRPr="3EFAE5D5">
        <w:rPr>
          <w:sz w:val="20"/>
          <w:szCs w:val="20"/>
        </w:rPr>
        <w:t>2. How the institution plans to use the funds</w:t>
      </w:r>
      <w:r w:rsidR="006349AB" w:rsidRPr="3EFAE5D5">
        <w:rPr>
          <w:sz w:val="20"/>
          <w:szCs w:val="20"/>
        </w:rPr>
        <w:t xml:space="preserve">, </w:t>
      </w:r>
      <w:r w:rsidR="006349AB" w:rsidRPr="3EFAE5D5">
        <w:rPr>
          <w:sz w:val="20"/>
          <w:szCs w:val="20"/>
          <w:u w:val="single"/>
        </w:rPr>
        <w:t xml:space="preserve">or </w:t>
      </w:r>
      <w:proofErr w:type="gramStart"/>
      <w:r w:rsidR="006349AB" w:rsidRPr="3EFAE5D5">
        <w:rPr>
          <w:sz w:val="20"/>
          <w:szCs w:val="20"/>
          <w:u w:val="single"/>
        </w:rPr>
        <w:t>nonmonetary</w:t>
      </w:r>
      <w:proofErr w:type="gramEnd"/>
      <w:r w:rsidR="006349AB" w:rsidRPr="3EFAE5D5">
        <w:rPr>
          <w:sz w:val="20"/>
          <w:szCs w:val="20"/>
          <w:u w:val="single"/>
        </w:rPr>
        <w:t xml:space="preserve"> contributions</w:t>
      </w:r>
      <w:r w:rsidRPr="3EFAE5D5">
        <w:rPr>
          <w:sz w:val="20"/>
          <w:szCs w:val="20"/>
        </w:rPr>
        <w:t xml:space="preserve">, including how such funds </w:t>
      </w:r>
      <w:r w:rsidR="006349AB" w:rsidRPr="3EFAE5D5">
        <w:rPr>
          <w:sz w:val="20"/>
          <w:szCs w:val="20"/>
          <w:u w:val="single"/>
        </w:rPr>
        <w:t xml:space="preserve">or </w:t>
      </w:r>
      <w:proofErr w:type="gramStart"/>
      <w:r w:rsidR="006349AB" w:rsidRPr="3EFAE5D5">
        <w:rPr>
          <w:sz w:val="20"/>
          <w:szCs w:val="20"/>
          <w:u w:val="single"/>
        </w:rPr>
        <w:t>nonmonetary</w:t>
      </w:r>
      <w:proofErr w:type="gramEnd"/>
      <w:r w:rsidR="006349AB" w:rsidRPr="3EFAE5D5">
        <w:rPr>
          <w:sz w:val="20"/>
          <w:szCs w:val="20"/>
          <w:u w:val="single"/>
        </w:rPr>
        <w:t xml:space="preserve"> contributions</w:t>
      </w:r>
      <w:r w:rsidR="006349AB" w:rsidRPr="3EFAE5D5">
        <w:rPr>
          <w:sz w:val="20"/>
          <w:szCs w:val="20"/>
        </w:rPr>
        <w:t xml:space="preserve"> </w:t>
      </w:r>
      <w:r w:rsidRPr="3EFAE5D5">
        <w:rPr>
          <w:sz w:val="20"/>
          <w:szCs w:val="20"/>
        </w:rPr>
        <w:t>will be utilized to increase student enrollment and program completion.</w:t>
      </w:r>
    </w:p>
    <w:p w14:paraId="58EF1B06" w14:textId="674237B0" w:rsidR="00214278" w:rsidRPr="00892A9E" w:rsidRDefault="00214278" w:rsidP="00B43A31">
      <w:pPr>
        <w:widowControl w:val="0"/>
        <w:spacing w:line="480" w:lineRule="auto"/>
        <w:ind w:left="360"/>
        <w:rPr>
          <w:sz w:val="20"/>
          <w:szCs w:val="20"/>
          <w:u w:val="single"/>
        </w:rPr>
      </w:pPr>
      <w:r w:rsidRPr="1A4575C6">
        <w:rPr>
          <w:sz w:val="20"/>
          <w:szCs w:val="20"/>
        </w:rPr>
        <w:t xml:space="preserve">3. How the health care partner </w:t>
      </w:r>
      <w:proofErr w:type="gramStart"/>
      <w:r w:rsidRPr="1A4575C6">
        <w:rPr>
          <w:sz w:val="20"/>
          <w:szCs w:val="20"/>
        </w:rPr>
        <w:t>will</w:t>
      </w:r>
      <w:proofErr w:type="gramEnd"/>
      <w:r w:rsidRPr="1A4575C6">
        <w:rPr>
          <w:sz w:val="20"/>
          <w:szCs w:val="20"/>
        </w:rPr>
        <w:t xml:space="preserve"> </w:t>
      </w:r>
      <w:proofErr w:type="gramStart"/>
      <w:r w:rsidRPr="1A4575C6">
        <w:rPr>
          <w:sz w:val="20"/>
          <w:szCs w:val="20"/>
        </w:rPr>
        <w:t>onboard</w:t>
      </w:r>
      <w:proofErr w:type="gramEnd"/>
      <w:r w:rsidRPr="1A4575C6">
        <w:rPr>
          <w:sz w:val="20"/>
          <w:szCs w:val="20"/>
        </w:rPr>
        <w:t xml:space="preserve"> and retain </w:t>
      </w:r>
      <w:r w:rsidR="03431A8C" w:rsidRPr="1A4575C6">
        <w:rPr>
          <w:sz w:val="20"/>
          <w:szCs w:val="20"/>
        </w:rPr>
        <w:t>graduates or</w:t>
      </w:r>
      <w:r w:rsidR="006349AB" w:rsidRPr="1A4575C6">
        <w:rPr>
          <w:sz w:val="20"/>
          <w:szCs w:val="20"/>
        </w:rPr>
        <w:t xml:space="preserve"> </w:t>
      </w:r>
      <w:r w:rsidR="006349AB" w:rsidRPr="1A4575C6">
        <w:rPr>
          <w:sz w:val="20"/>
          <w:szCs w:val="20"/>
          <w:u w:val="single"/>
        </w:rPr>
        <w:t>otherwise improve the likelihood that graduates will successfully join the state or local workforce</w:t>
      </w:r>
      <w:r w:rsidRPr="1A4575C6">
        <w:rPr>
          <w:sz w:val="20"/>
          <w:szCs w:val="20"/>
          <w:u w:val="single"/>
        </w:rPr>
        <w:t>.</w:t>
      </w:r>
    </w:p>
    <w:p w14:paraId="67EC9336" w14:textId="77777777" w:rsidR="00214278" w:rsidRPr="00892A9E" w:rsidRDefault="00214278" w:rsidP="00B43A31">
      <w:pPr>
        <w:widowControl w:val="0"/>
        <w:spacing w:line="480" w:lineRule="auto"/>
        <w:ind w:left="360"/>
        <w:rPr>
          <w:sz w:val="20"/>
          <w:szCs w:val="20"/>
        </w:rPr>
      </w:pPr>
      <w:r w:rsidRPr="3EFAE5D5">
        <w:rPr>
          <w:sz w:val="20"/>
          <w:szCs w:val="20"/>
        </w:rPr>
        <w:lastRenderedPageBreak/>
        <w:t xml:space="preserve">4. How the funds </w:t>
      </w:r>
      <w:r w:rsidR="006349AB" w:rsidRPr="3EFAE5D5">
        <w:rPr>
          <w:sz w:val="20"/>
          <w:szCs w:val="20"/>
        </w:rPr>
        <w:t xml:space="preserve">or </w:t>
      </w:r>
      <w:proofErr w:type="gramStart"/>
      <w:r w:rsidR="006349AB" w:rsidRPr="3EFAE5D5">
        <w:rPr>
          <w:sz w:val="20"/>
          <w:szCs w:val="20"/>
          <w:u w:val="single"/>
        </w:rPr>
        <w:t>nonmonetary</w:t>
      </w:r>
      <w:proofErr w:type="gramEnd"/>
      <w:r w:rsidR="006349AB" w:rsidRPr="3EFAE5D5">
        <w:rPr>
          <w:sz w:val="20"/>
          <w:szCs w:val="20"/>
          <w:u w:val="single"/>
        </w:rPr>
        <w:t xml:space="preserve"> contributions</w:t>
      </w:r>
      <w:r w:rsidR="006349AB" w:rsidRPr="3EFAE5D5">
        <w:rPr>
          <w:sz w:val="20"/>
          <w:szCs w:val="20"/>
        </w:rPr>
        <w:t xml:space="preserve"> </w:t>
      </w:r>
      <w:r w:rsidRPr="3EFAE5D5">
        <w:rPr>
          <w:sz w:val="20"/>
          <w:szCs w:val="20"/>
        </w:rPr>
        <w:t xml:space="preserve">will </w:t>
      </w:r>
      <w:r w:rsidR="006349AB" w:rsidRPr="3EFAE5D5">
        <w:rPr>
          <w:sz w:val="20"/>
          <w:szCs w:val="20"/>
          <w:u w:val="single"/>
        </w:rPr>
        <w:t>be used to</w:t>
      </w:r>
      <w:r w:rsidR="006349AB" w:rsidRPr="3EFAE5D5">
        <w:rPr>
          <w:sz w:val="20"/>
          <w:szCs w:val="20"/>
        </w:rPr>
        <w:t xml:space="preserve"> </w:t>
      </w:r>
      <w:r w:rsidRPr="3EFAE5D5">
        <w:rPr>
          <w:sz w:val="20"/>
          <w:szCs w:val="20"/>
        </w:rPr>
        <w:t xml:space="preserve">expand the institution’s nursing education programs to meet local, regional, or state workforce demands. If applicable, this shall include advanced education nursing programs and how the funds </w:t>
      </w:r>
      <w:r w:rsidR="006349AB" w:rsidRPr="3EFAE5D5">
        <w:rPr>
          <w:sz w:val="20"/>
          <w:szCs w:val="20"/>
        </w:rPr>
        <w:t xml:space="preserve">or </w:t>
      </w:r>
      <w:r w:rsidR="006349AB" w:rsidRPr="3EFAE5D5">
        <w:rPr>
          <w:sz w:val="20"/>
          <w:szCs w:val="20"/>
          <w:u w:val="single"/>
        </w:rPr>
        <w:t>nonmonetary contribution</w:t>
      </w:r>
      <w:r w:rsidR="006349AB" w:rsidRPr="3EFAE5D5">
        <w:rPr>
          <w:sz w:val="20"/>
          <w:szCs w:val="20"/>
        </w:rPr>
        <w:t xml:space="preserve"> </w:t>
      </w:r>
      <w:r w:rsidRPr="3EFAE5D5">
        <w:rPr>
          <w:sz w:val="20"/>
          <w:szCs w:val="20"/>
        </w:rPr>
        <w:t>will increase the number of faculty and clinical preceptors and planned efforts to utilize the clinical placement process established in Section 14.36, F.S.</w:t>
      </w:r>
    </w:p>
    <w:p w14:paraId="79D87D3E" w14:textId="2B29E27E" w:rsidR="00214278" w:rsidRPr="00892A9E" w:rsidRDefault="00214278" w:rsidP="00B43A31">
      <w:pPr>
        <w:widowControl w:val="0"/>
        <w:spacing w:line="480" w:lineRule="auto"/>
        <w:ind w:left="360"/>
        <w:rPr>
          <w:sz w:val="20"/>
          <w:szCs w:val="20"/>
        </w:rPr>
      </w:pPr>
      <w:r w:rsidRPr="3EFAE5D5">
        <w:rPr>
          <w:sz w:val="20"/>
          <w:szCs w:val="20"/>
        </w:rPr>
        <w:t xml:space="preserve">(b) Once the proposals are evaluated and ranked pursuant to paragraph (5)(a), the Department will consider the strength of the proposed programs, the geographic location of the proposals and statewide workforce demands </w:t>
      </w:r>
      <w:proofErr w:type="gramStart"/>
      <w:r w:rsidRPr="3EFAE5D5">
        <w:rPr>
          <w:sz w:val="20"/>
          <w:szCs w:val="20"/>
        </w:rPr>
        <w:t>in order to</w:t>
      </w:r>
      <w:proofErr w:type="gramEnd"/>
      <w:r w:rsidRPr="3EFAE5D5">
        <w:rPr>
          <w:sz w:val="20"/>
          <w:szCs w:val="20"/>
        </w:rPr>
        <w:t xml:space="preserve"> promote the distribution of funds and avoid a concentration of funds in a small number of institutions.</w:t>
      </w:r>
    </w:p>
    <w:p w14:paraId="37008E9B" w14:textId="00E2D46B" w:rsidR="00F72C07" w:rsidRPr="00892A9E" w:rsidRDefault="00F72C07" w:rsidP="00B43A31">
      <w:pPr>
        <w:widowControl w:val="0"/>
        <w:spacing w:line="480" w:lineRule="auto"/>
        <w:ind w:left="360"/>
        <w:rPr>
          <w:rFonts w:eastAsia="SimSun"/>
          <w:sz w:val="20"/>
          <w:szCs w:val="20"/>
          <w:u w:val="single"/>
        </w:rPr>
      </w:pPr>
      <w:r w:rsidRPr="491AC1E9">
        <w:rPr>
          <w:sz w:val="20"/>
          <w:szCs w:val="20"/>
        </w:rPr>
        <w:t>(c)</w:t>
      </w:r>
      <w:r w:rsidRPr="491AC1E9">
        <w:rPr>
          <w:rFonts w:eastAsia="SimSun"/>
          <w:sz w:val="20"/>
          <w:szCs w:val="20"/>
          <w:u w:val="single"/>
        </w:rPr>
        <w:t xml:space="preserve"> Monetary contributions from </w:t>
      </w:r>
      <w:r w:rsidR="57285AE2" w:rsidRPr="491AC1E9">
        <w:rPr>
          <w:rFonts w:eastAsia="SimSun"/>
          <w:sz w:val="20"/>
          <w:szCs w:val="20"/>
          <w:u w:val="single"/>
        </w:rPr>
        <w:t>contributo</w:t>
      </w:r>
      <w:r w:rsidRPr="491AC1E9">
        <w:rPr>
          <w:rFonts w:eastAsia="SimSun"/>
          <w:sz w:val="20"/>
          <w:szCs w:val="20"/>
          <w:u w:val="single"/>
        </w:rPr>
        <w:t>rs shall receive priority when awarding matching funds to institutions.</w:t>
      </w:r>
    </w:p>
    <w:p w14:paraId="0149B2AE" w14:textId="4DAD49B7" w:rsidR="00214278" w:rsidRPr="00892A9E" w:rsidRDefault="00214278" w:rsidP="00B43A31">
      <w:pPr>
        <w:widowControl w:val="0"/>
        <w:spacing w:line="480" w:lineRule="auto"/>
        <w:ind w:left="360"/>
        <w:textAlignment w:val="baseline"/>
        <w:rPr>
          <w:sz w:val="20"/>
          <w:szCs w:val="20"/>
        </w:rPr>
      </w:pPr>
      <w:r w:rsidRPr="491AC1E9">
        <w:rPr>
          <w:sz w:val="20"/>
          <w:szCs w:val="20"/>
        </w:rPr>
        <w:t xml:space="preserve">(6) Award Notice. The Department will award grant funding on a dollar-to-dollar basis, </w:t>
      </w:r>
      <w:r w:rsidR="006349AB" w:rsidRPr="491AC1E9">
        <w:rPr>
          <w:sz w:val="20"/>
          <w:szCs w:val="20"/>
        </w:rPr>
        <w:t xml:space="preserve">up to the amount of the fund </w:t>
      </w:r>
      <w:r w:rsidR="006349AB" w:rsidRPr="491AC1E9">
        <w:rPr>
          <w:sz w:val="20"/>
          <w:szCs w:val="20"/>
          <w:u w:val="single"/>
        </w:rPr>
        <w:t>or the fair market value</w:t>
      </w:r>
      <w:r w:rsidR="006349AB" w:rsidRPr="491AC1E9">
        <w:rPr>
          <w:sz w:val="20"/>
          <w:szCs w:val="20"/>
        </w:rPr>
        <w:t xml:space="preserve"> </w:t>
      </w:r>
      <w:r w:rsidR="006349AB" w:rsidRPr="491AC1E9">
        <w:rPr>
          <w:sz w:val="20"/>
          <w:szCs w:val="20"/>
          <w:u w:val="single"/>
        </w:rPr>
        <w:t xml:space="preserve">of the </w:t>
      </w:r>
      <w:proofErr w:type="gramStart"/>
      <w:r w:rsidR="006349AB" w:rsidRPr="491AC1E9">
        <w:rPr>
          <w:sz w:val="20"/>
          <w:szCs w:val="20"/>
          <w:u w:val="single"/>
        </w:rPr>
        <w:t>nonmonetary</w:t>
      </w:r>
      <w:proofErr w:type="gramEnd"/>
      <w:r w:rsidR="006349AB" w:rsidRPr="491AC1E9">
        <w:rPr>
          <w:sz w:val="20"/>
          <w:szCs w:val="20"/>
          <w:u w:val="single"/>
        </w:rPr>
        <w:t xml:space="preserve"> contribution</w:t>
      </w:r>
      <w:r w:rsidR="00BC4CB2" w:rsidRPr="491AC1E9">
        <w:rPr>
          <w:sz w:val="20"/>
          <w:szCs w:val="20"/>
          <w:u w:val="single"/>
        </w:rPr>
        <w:t>, including notifications made on a rolling or periodic basis</w:t>
      </w:r>
      <w:r w:rsidR="006349AB" w:rsidRPr="491AC1E9">
        <w:rPr>
          <w:sz w:val="20"/>
          <w:szCs w:val="20"/>
        </w:rPr>
        <w:t xml:space="preserve"> </w:t>
      </w:r>
      <w:r w:rsidRPr="491AC1E9">
        <w:rPr>
          <w:sz w:val="20"/>
          <w:szCs w:val="20"/>
        </w:rPr>
        <w:t xml:space="preserve">subject to available funds, to eligible </w:t>
      </w:r>
      <w:proofErr w:type="gramStart"/>
      <w:r w:rsidRPr="491AC1E9">
        <w:rPr>
          <w:sz w:val="20"/>
          <w:szCs w:val="20"/>
        </w:rPr>
        <w:t>institutions</w:t>
      </w:r>
      <w:r w:rsidR="001310B4" w:rsidRPr="003733A1">
        <w:rPr>
          <w:sz w:val="20"/>
          <w:szCs w:val="20"/>
          <w:u w:val="single"/>
        </w:rPr>
        <w:t>.</w:t>
      </w:r>
      <w:r w:rsidR="00A41236" w:rsidRPr="00A41236">
        <w:rPr>
          <w:strike/>
          <w:sz w:val="20"/>
          <w:szCs w:val="20"/>
        </w:rPr>
        <w:t>,</w:t>
      </w:r>
      <w:proofErr w:type="gramEnd"/>
      <w:r w:rsidRPr="491AC1E9">
        <w:rPr>
          <w:sz w:val="20"/>
          <w:szCs w:val="20"/>
        </w:rPr>
        <w:t xml:space="preserve"> </w:t>
      </w:r>
      <w:r w:rsidRPr="491AC1E9">
        <w:rPr>
          <w:strike/>
          <w:sz w:val="20"/>
          <w:szCs w:val="20"/>
        </w:rPr>
        <w:t>based on subsections (4) and (5).</w:t>
      </w:r>
      <w:r w:rsidRPr="491AC1E9">
        <w:rPr>
          <w:sz w:val="20"/>
          <w:szCs w:val="20"/>
        </w:rPr>
        <w:t xml:space="preserve"> The Department will notify institutions of the approved proposals and award amounts.</w:t>
      </w:r>
    </w:p>
    <w:p w14:paraId="03587A22" w14:textId="69BEA7D0" w:rsidR="00BC46AB" w:rsidRPr="00892A9E" w:rsidRDefault="00BC4CB2" w:rsidP="00B43A31">
      <w:pPr>
        <w:widowControl w:val="0"/>
        <w:spacing w:line="480" w:lineRule="auto"/>
        <w:ind w:left="360"/>
        <w:textAlignment w:val="baseline"/>
        <w:rPr>
          <w:sz w:val="20"/>
          <w:szCs w:val="20"/>
          <w:u w:val="single"/>
        </w:rPr>
      </w:pPr>
      <w:r w:rsidRPr="491AC1E9">
        <w:rPr>
          <w:sz w:val="20"/>
          <w:szCs w:val="20"/>
          <w:u w:val="single"/>
        </w:rPr>
        <w:t>(</w:t>
      </w:r>
      <w:r w:rsidR="00054BCC" w:rsidRPr="00F86490">
        <w:rPr>
          <w:sz w:val="20"/>
          <w:szCs w:val="20"/>
          <w:u w:val="single"/>
        </w:rPr>
        <w:t>a</w:t>
      </w:r>
      <w:r w:rsidRPr="00F86490">
        <w:rPr>
          <w:sz w:val="20"/>
          <w:szCs w:val="20"/>
          <w:u w:val="single"/>
        </w:rPr>
        <w:t xml:space="preserve">) </w:t>
      </w:r>
      <w:r w:rsidR="00BC46AB" w:rsidRPr="00F86490">
        <w:rPr>
          <w:sz w:val="20"/>
          <w:szCs w:val="20"/>
          <w:u w:val="single"/>
        </w:rPr>
        <w:t>Subject</w:t>
      </w:r>
      <w:r w:rsidR="00BC46AB" w:rsidRPr="491AC1E9">
        <w:rPr>
          <w:sz w:val="20"/>
          <w:szCs w:val="20"/>
          <w:u w:val="single"/>
        </w:rPr>
        <w:t xml:space="preserve"> to available funds, for every monetary or </w:t>
      </w:r>
      <w:proofErr w:type="gramStart"/>
      <w:r w:rsidR="00BC46AB" w:rsidRPr="491AC1E9">
        <w:rPr>
          <w:sz w:val="20"/>
          <w:szCs w:val="20"/>
          <w:u w:val="single"/>
        </w:rPr>
        <w:t>nonmonetary</w:t>
      </w:r>
      <w:proofErr w:type="gramEnd"/>
      <w:r w:rsidR="00BC46AB" w:rsidRPr="491AC1E9">
        <w:rPr>
          <w:sz w:val="20"/>
          <w:szCs w:val="20"/>
          <w:u w:val="single"/>
        </w:rPr>
        <w:t xml:space="preserve"> contribution to an institution by a </w:t>
      </w:r>
      <w:r w:rsidR="3397285A" w:rsidRPr="491AC1E9">
        <w:rPr>
          <w:sz w:val="20"/>
          <w:szCs w:val="20"/>
          <w:u w:val="single"/>
        </w:rPr>
        <w:t>contributor</w:t>
      </w:r>
      <w:r w:rsidR="0E19A278" w:rsidRPr="491AC1E9">
        <w:rPr>
          <w:sz w:val="20"/>
          <w:szCs w:val="20"/>
          <w:u w:val="single"/>
        </w:rPr>
        <w:t>,</w:t>
      </w:r>
      <w:r w:rsidR="00BC46AB" w:rsidRPr="491AC1E9">
        <w:rPr>
          <w:sz w:val="20"/>
          <w:szCs w:val="20"/>
          <w:u w:val="single"/>
        </w:rPr>
        <w:t xml:space="preserve"> the funds shall provide a dollar-to-dollar match to the participating institution to implement the activities outlined in the institution’s approved proposal.</w:t>
      </w:r>
    </w:p>
    <w:p w14:paraId="74521150" w14:textId="18FBBBC7" w:rsidR="00BC4CB2" w:rsidRPr="00892A9E" w:rsidRDefault="00BC46AB" w:rsidP="00B43A31">
      <w:pPr>
        <w:widowControl w:val="0"/>
        <w:spacing w:line="480" w:lineRule="auto"/>
        <w:ind w:left="360"/>
        <w:rPr>
          <w:sz w:val="20"/>
          <w:szCs w:val="20"/>
          <w:u w:val="single"/>
        </w:rPr>
      </w:pPr>
      <w:r w:rsidRPr="491AC1E9">
        <w:rPr>
          <w:sz w:val="20"/>
          <w:szCs w:val="20"/>
          <w:u w:val="single"/>
        </w:rPr>
        <w:t>(</w:t>
      </w:r>
      <w:r w:rsidR="00F86490">
        <w:rPr>
          <w:sz w:val="20"/>
          <w:szCs w:val="20"/>
          <w:u w:val="single"/>
        </w:rPr>
        <w:t>b</w:t>
      </w:r>
      <w:r w:rsidRPr="491AC1E9">
        <w:rPr>
          <w:sz w:val="20"/>
          <w:szCs w:val="20"/>
          <w:u w:val="single"/>
        </w:rPr>
        <w:t xml:space="preserve">) </w:t>
      </w:r>
      <w:r w:rsidR="00BC4CB2" w:rsidRPr="491AC1E9">
        <w:rPr>
          <w:sz w:val="20"/>
          <w:szCs w:val="20"/>
          <w:u w:val="single"/>
        </w:rPr>
        <w:t>If deemed to meet the long-term goals of the LINE Fund, the Department may</w:t>
      </w:r>
      <w:r w:rsidR="00CC014D">
        <w:rPr>
          <w:sz w:val="20"/>
          <w:szCs w:val="20"/>
          <w:u w:val="single"/>
        </w:rPr>
        <w:t xml:space="preserve"> </w:t>
      </w:r>
      <w:r w:rsidR="00BC4CB2" w:rsidRPr="491AC1E9">
        <w:rPr>
          <w:sz w:val="20"/>
          <w:szCs w:val="20"/>
          <w:u w:val="single"/>
        </w:rPr>
        <w:t>award funds for an approved proposal for up to 2 academic years immediately following the academic year within which the initial approval is granted</w:t>
      </w:r>
      <w:r w:rsidR="00720A49" w:rsidRPr="491AC1E9">
        <w:rPr>
          <w:sz w:val="20"/>
          <w:szCs w:val="20"/>
          <w:u w:val="single"/>
        </w:rPr>
        <w:t>, for a total of 3 academic years</w:t>
      </w:r>
      <w:r w:rsidR="00BC4CB2" w:rsidRPr="491AC1E9">
        <w:rPr>
          <w:sz w:val="20"/>
          <w:szCs w:val="20"/>
          <w:u w:val="single"/>
        </w:rPr>
        <w:t xml:space="preserve">. If the Department </w:t>
      </w:r>
      <w:r w:rsidR="00F04534" w:rsidRPr="491AC1E9">
        <w:rPr>
          <w:sz w:val="20"/>
          <w:szCs w:val="20"/>
          <w:u w:val="single"/>
        </w:rPr>
        <w:t xml:space="preserve">approves a multi-year award to an institution, the award amount in subsequent years is subject to a LINE Fund appropriation and the continued notification of the </w:t>
      </w:r>
      <w:r w:rsidR="7B424A24" w:rsidRPr="491AC1E9">
        <w:rPr>
          <w:sz w:val="20"/>
          <w:szCs w:val="20"/>
          <w:u w:val="single"/>
        </w:rPr>
        <w:t>contributor</w:t>
      </w:r>
      <w:r w:rsidR="00F04534" w:rsidRPr="491AC1E9">
        <w:rPr>
          <w:sz w:val="20"/>
          <w:szCs w:val="20"/>
          <w:u w:val="single"/>
        </w:rPr>
        <w:t>’s contribution to match the multiyear award of state funds.</w:t>
      </w:r>
    </w:p>
    <w:p w14:paraId="0B6F20C9" w14:textId="6C36A05B" w:rsidR="00214278" w:rsidRPr="00892A9E" w:rsidRDefault="00214278" w:rsidP="00B43A31">
      <w:pPr>
        <w:widowControl w:val="0"/>
        <w:spacing w:line="480" w:lineRule="auto"/>
        <w:ind w:left="360"/>
        <w:textAlignment w:val="baseline"/>
        <w:rPr>
          <w:sz w:val="20"/>
          <w:szCs w:val="20"/>
        </w:rPr>
      </w:pPr>
      <w:r w:rsidRPr="1A4575C6">
        <w:rPr>
          <w:sz w:val="20"/>
          <w:szCs w:val="20"/>
        </w:rPr>
        <w:t>(</w:t>
      </w:r>
      <w:r w:rsidRPr="00F86490">
        <w:rPr>
          <w:sz w:val="20"/>
          <w:szCs w:val="20"/>
        </w:rPr>
        <w:t>7</w:t>
      </w:r>
      <w:r w:rsidRPr="1A4575C6">
        <w:rPr>
          <w:sz w:val="20"/>
          <w:szCs w:val="20"/>
        </w:rPr>
        <w:t>)</w:t>
      </w:r>
      <w:r w:rsidR="00F04534" w:rsidRPr="1A4575C6">
        <w:rPr>
          <w:sz w:val="20"/>
          <w:szCs w:val="20"/>
        </w:rPr>
        <w:t xml:space="preserve"> </w:t>
      </w:r>
      <w:r w:rsidRPr="1A4575C6">
        <w:rPr>
          <w:sz w:val="20"/>
          <w:szCs w:val="20"/>
        </w:rPr>
        <w:t xml:space="preserve">Disbursements. Prior to the release of funds to an institution that has been awarded LINE funds, the institution must provide to the Department documentation of the </w:t>
      </w:r>
      <w:r w:rsidR="659AB22E" w:rsidRPr="1A4575C6">
        <w:rPr>
          <w:sz w:val="20"/>
          <w:szCs w:val="20"/>
          <w:u w:val="single"/>
        </w:rPr>
        <w:t>contributor</w:t>
      </w:r>
      <w:r w:rsidR="659AB22E" w:rsidRPr="1A4575C6">
        <w:rPr>
          <w:sz w:val="20"/>
          <w:szCs w:val="20"/>
        </w:rPr>
        <w:t xml:space="preserve"> </w:t>
      </w:r>
      <w:r w:rsidR="42BEB2BF" w:rsidRPr="1A4575C6">
        <w:rPr>
          <w:strike/>
          <w:sz w:val="20"/>
          <w:szCs w:val="20"/>
        </w:rPr>
        <w:t>health care partner</w:t>
      </w:r>
      <w:r w:rsidR="1F4AFDED" w:rsidRPr="1A4575C6">
        <w:rPr>
          <w:strike/>
          <w:sz w:val="20"/>
          <w:szCs w:val="20"/>
        </w:rPr>
        <w:t xml:space="preserve"> </w:t>
      </w:r>
      <w:r w:rsidRPr="1A4575C6">
        <w:rPr>
          <w:sz w:val="20"/>
          <w:szCs w:val="20"/>
        </w:rPr>
        <w:t xml:space="preserve">providing the </w:t>
      </w:r>
      <w:r w:rsidR="00BC4CB2" w:rsidRPr="1A4575C6">
        <w:rPr>
          <w:sz w:val="20"/>
          <w:szCs w:val="20"/>
          <w:u w:val="single"/>
        </w:rPr>
        <w:t xml:space="preserve">monetary or </w:t>
      </w:r>
      <w:proofErr w:type="gramStart"/>
      <w:r w:rsidR="00BC4CB2" w:rsidRPr="1A4575C6">
        <w:rPr>
          <w:sz w:val="20"/>
          <w:szCs w:val="20"/>
          <w:u w:val="single"/>
        </w:rPr>
        <w:t>nonmonetary</w:t>
      </w:r>
      <w:proofErr w:type="gramEnd"/>
      <w:r w:rsidR="00BC4CB2" w:rsidRPr="1A4575C6">
        <w:rPr>
          <w:sz w:val="20"/>
          <w:szCs w:val="20"/>
        </w:rPr>
        <w:t xml:space="preserve"> </w:t>
      </w:r>
      <w:r w:rsidRPr="1A4575C6">
        <w:rPr>
          <w:strike/>
          <w:sz w:val="20"/>
          <w:szCs w:val="20"/>
        </w:rPr>
        <w:t>cash</w:t>
      </w:r>
      <w:r w:rsidRPr="1A4575C6">
        <w:rPr>
          <w:sz w:val="20"/>
          <w:szCs w:val="20"/>
        </w:rPr>
        <w:t xml:space="preserve"> contribution to the institution. </w:t>
      </w:r>
      <w:r w:rsidR="00A079FA" w:rsidRPr="1A4575C6">
        <w:rPr>
          <w:sz w:val="20"/>
          <w:szCs w:val="20"/>
          <w:u w:val="single"/>
        </w:rPr>
        <w:t>If the contribution is monetary, then it may be given</w:t>
      </w:r>
      <w:r w:rsidR="009A0C79" w:rsidRPr="1A4575C6">
        <w:rPr>
          <w:sz w:val="20"/>
          <w:szCs w:val="20"/>
          <w:u w:val="single"/>
        </w:rPr>
        <w:t xml:space="preserve"> to the institution</w:t>
      </w:r>
      <w:r w:rsidR="00A079FA" w:rsidRPr="1A4575C6">
        <w:rPr>
          <w:sz w:val="20"/>
          <w:szCs w:val="20"/>
          <w:u w:val="single"/>
        </w:rPr>
        <w:t xml:space="preserve"> in quarterly payments, so long as the amount received in the first quarter is at least a one-fourth the total contribution amount.</w:t>
      </w:r>
      <w:r w:rsidR="00A079FA" w:rsidRPr="1A4575C6">
        <w:rPr>
          <w:sz w:val="20"/>
          <w:szCs w:val="20"/>
        </w:rPr>
        <w:t xml:space="preserve"> </w:t>
      </w:r>
      <w:r w:rsidRPr="1A4575C6">
        <w:rPr>
          <w:sz w:val="20"/>
          <w:szCs w:val="20"/>
        </w:rPr>
        <w:t xml:space="preserve">Acceptable documentation includes financial statements, bank statements, budget reports, or bank letters that show the cash transaction(s). </w:t>
      </w:r>
      <w:r w:rsidR="00C07468" w:rsidRPr="1A4575C6">
        <w:rPr>
          <w:rFonts w:eastAsia="SimSun"/>
          <w:sz w:val="20"/>
          <w:szCs w:val="20"/>
          <w:u w:val="single"/>
        </w:rPr>
        <w:t xml:space="preserve">To accept </w:t>
      </w:r>
      <w:proofErr w:type="gramStart"/>
      <w:r w:rsidR="00C07468" w:rsidRPr="1A4575C6">
        <w:rPr>
          <w:rFonts w:eastAsia="SimSun"/>
          <w:sz w:val="20"/>
          <w:szCs w:val="20"/>
          <w:u w:val="single"/>
        </w:rPr>
        <w:t>nonmonetary</w:t>
      </w:r>
      <w:proofErr w:type="gramEnd"/>
      <w:r w:rsidR="00C07468" w:rsidRPr="1A4575C6">
        <w:rPr>
          <w:rFonts w:eastAsia="SimSun"/>
          <w:sz w:val="20"/>
          <w:szCs w:val="20"/>
          <w:u w:val="single"/>
        </w:rPr>
        <w:t xml:space="preserve"> contributions as matching funds, the applicant must provide documentation on the fair market value of the contribution in dollars. The Department will certify that the proposed contribution directly supports the goals of the LINE Fund outlined in subsection (1) </w:t>
      </w:r>
      <w:r w:rsidR="00C07468">
        <w:rPr>
          <w:rFonts w:eastAsia="SimSun"/>
          <w:sz w:val="20"/>
          <w:szCs w:val="20"/>
          <w:u w:val="single"/>
        </w:rPr>
        <w:t xml:space="preserve">and s. 1009.,8962, F.S., </w:t>
      </w:r>
      <w:r w:rsidR="00C07468" w:rsidRPr="1A4575C6">
        <w:rPr>
          <w:rFonts w:eastAsia="SimSun"/>
          <w:sz w:val="20"/>
          <w:szCs w:val="20"/>
          <w:u w:val="single"/>
        </w:rPr>
        <w:t>and may require additional documentation to verify fair market value.</w:t>
      </w:r>
      <w:r w:rsidR="00C07468" w:rsidRPr="00C07468">
        <w:rPr>
          <w:rFonts w:eastAsia="SimSun"/>
          <w:sz w:val="20"/>
          <w:szCs w:val="20"/>
        </w:rPr>
        <w:t xml:space="preserve"> </w:t>
      </w:r>
      <w:r w:rsidRPr="1A4575C6">
        <w:rPr>
          <w:sz w:val="20"/>
          <w:szCs w:val="20"/>
        </w:rPr>
        <w:t xml:space="preserve">Funds </w:t>
      </w:r>
      <w:r w:rsidRPr="1A4575C6">
        <w:rPr>
          <w:sz w:val="20"/>
          <w:szCs w:val="20"/>
        </w:rPr>
        <w:lastRenderedPageBreak/>
        <w:t>will be released in accordance with the General Appropriations Act or, no more frequently than on a quarterly basis.</w:t>
      </w:r>
    </w:p>
    <w:p w14:paraId="7265BB57" w14:textId="0C5F8FE6" w:rsidR="00720A49" w:rsidRPr="00892A9E" w:rsidRDefault="00214278" w:rsidP="00B43A31">
      <w:pPr>
        <w:widowControl w:val="0"/>
        <w:tabs>
          <w:tab w:val="left" w:pos="360"/>
        </w:tabs>
        <w:spacing w:line="480" w:lineRule="auto"/>
        <w:ind w:left="360"/>
        <w:rPr>
          <w:rFonts w:eastAsia="SimSun"/>
          <w:sz w:val="20"/>
          <w:szCs w:val="20"/>
        </w:rPr>
      </w:pPr>
      <w:r w:rsidRPr="1A4575C6">
        <w:rPr>
          <w:rFonts w:eastAsia="SimSun"/>
          <w:sz w:val="20"/>
          <w:szCs w:val="20"/>
        </w:rPr>
        <w:t>(</w:t>
      </w:r>
      <w:r w:rsidRPr="00F86490">
        <w:rPr>
          <w:rFonts w:eastAsia="SimSun"/>
          <w:sz w:val="20"/>
          <w:szCs w:val="20"/>
        </w:rPr>
        <w:t>8</w:t>
      </w:r>
      <w:r w:rsidR="60038354" w:rsidRPr="00F86490">
        <w:rPr>
          <w:rFonts w:eastAsia="SimSun"/>
          <w:sz w:val="20"/>
          <w:szCs w:val="20"/>
        </w:rPr>
        <w:t>)</w:t>
      </w:r>
      <w:r w:rsidR="00F04534" w:rsidRPr="1A4575C6">
        <w:rPr>
          <w:rFonts w:eastAsia="SimSun"/>
          <w:sz w:val="20"/>
          <w:szCs w:val="20"/>
        </w:rPr>
        <w:t xml:space="preserve"> </w:t>
      </w:r>
      <w:r w:rsidRPr="1A4575C6">
        <w:rPr>
          <w:rFonts w:eastAsia="SimSun"/>
          <w:sz w:val="20"/>
          <w:szCs w:val="20"/>
        </w:rPr>
        <w:t>Required Reporting.</w:t>
      </w:r>
    </w:p>
    <w:p w14:paraId="414976D7" w14:textId="492017EC" w:rsidR="00214278" w:rsidRPr="00892A9E" w:rsidRDefault="00720A49" w:rsidP="00B43A31">
      <w:pPr>
        <w:widowControl w:val="0"/>
        <w:tabs>
          <w:tab w:val="left" w:pos="360"/>
        </w:tabs>
        <w:spacing w:line="480" w:lineRule="auto"/>
        <w:ind w:left="360"/>
        <w:rPr>
          <w:rFonts w:eastAsia="SimSun"/>
          <w:sz w:val="20"/>
          <w:szCs w:val="20"/>
        </w:rPr>
      </w:pPr>
      <w:r w:rsidRPr="004844DC">
        <w:rPr>
          <w:rFonts w:eastAsia="SimSun"/>
          <w:sz w:val="20"/>
          <w:szCs w:val="20"/>
          <w:u w:val="single"/>
        </w:rPr>
        <w:t>(a)</w:t>
      </w:r>
      <w:r w:rsidR="004844DC">
        <w:rPr>
          <w:rFonts w:eastAsia="SimSun"/>
          <w:sz w:val="20"/>
          <w:szCs w:val="20"/>
        </w:rPr>
        <w:t xml:space="preserve"> </w:t>
      </w:r>
      <w:r w:rsidR="00214278" w:rsidRPr="491AC1E9">
        <w:rPr>
          <w:rFonts w:eastAsia="SimSun"/>
          <w:sz w:val="20"/>
          <w:szCs w:val="20"/>
        </w:rPr>
        <w:t>Annually, by February 1, institutions that were awarded LINE funds in the previous fiscal year must report to the Department all information required by Section 1009.896(9)(b), F.S. Minimally, the report must include, by program level, the number of additional nursing education students enrolled; if scholarships were awarded using grant funds, the number of students who received scholarships and the average award amount; and the outcomes of students as reported by the Office of Reimagining Education and Career Help pursuant to Section 14.36(3)(l), F.S. No later than thirty (30) days before the submission deadline, the Department will release guidelines for institutions to transmit an electronic file to meet this requirement.</w:t>
      </w:r>
    </w:p>
    <w:p w14:paraId="475192B0" w14:textId="6F42A51E" w:rsidR="00720A49" w:rsidRPr="00892A9E" w:rsidRDefault="00720A49" w:rsidP="00B43A31">
      <w:pPr>
        <w:widowControl w:val="0"/>
        <w:spacing w:line="480" w:lineRule="auto"/>
        <w:ind w:left="360"/>
        <w:rPr>
          <w:sz w:val="20"/>
          <w:szCs w:val="20"/>
          <w:u w:val="single"/>
        </w:rPr>
      </w:pPr>
      <w:r w:rsidRPr="00ED3437">
        <w:rPr>
          <w:rFonts w:eastAsia="SimSun"/>
          <w:sz w:val="20"/>
          <w:szCs w:val="20"/>
          <w:u w:val="single"/>
        </w:rPr>
        <w:t>(b)</w:t>
      </w:r>
      <w:r w:rsidRPr="1A4575C6">
        <w:rPr>
          <w:sz w:val="20"/>
          <w:szCs w:val="20"/>
          <w:u w:val="single"/>
        </w:rPr>
        <w:t xml:space="preserve"> If </w:t>
      </w:r>
      <w:r w:rsidR="004B3028" w:rsidRPr="1A4575C6">
        <w:rPr>
          <w:sz w:val="20"/>
          <w:szCs w:val="20"/>
          <w:u w:val="single"/>
        </w:rPr>
        <w:t xml:space="preserve">an institution receives a </w:t>
      </w:r>
      <w:r w:rsidRPr="1A4575C6">
        <w:rPr>
          <w:sz w:val="20"/>
          <w:szCs w:val="20"/>
          <w:u w:val="single"/>
        </w:rPr>
        <w:t xml:space="preserve">nonmonetary contribution </w:t>
      </w:r>
      <w:r w:rsidR="004B3028" w:rsidRPr="1A4575C6">
        <w:rPr>
          <w:sz w:val="20"/>
          <w:szCs w:val="20"/>
          <w:u w:val="single"/>
        </w:rPr>
        <w:t>which is</w:t>
      </w:r>
      <w:r w:rsidRPr="1A4575C6">
        <w:rPr>
          <w:sz w:val="20"/>
          <w:szCs w:val="20"/>
          <w:u w:val="single"/>
        </w:rPr>
        <w:t xml:space="preserve"> given over time, the institution must submit to the </w:t>
      </w:r>
      <w:r w:rsidR="61DFAC9E" w:rsidRPr="1A4575C6">
        <w:rPr>
          <w:sz w:val="20"/>
          <w:szCs w:val="20"/>
          <w:u w:val="single"/>
        </w:rPr>
        <w:t>D</w:t>
      </w:r>
      <w:r w:rsidRPr="1A4575C6">
        <w:rPr>
          <w:sz w:val="20"/>
          <w:szCs w:val="20"/>
          <w:u w:val="single"/>
        </w:rPr>
        <w:t xml:space="preserve">epartment documentation that the contribution was fulfilled at the end of each </w:t>
      </w:r>
      <w:r w:rsidR="5FFD00F3" w:rsidRPr="1A4575C6">
        <w:rPr>
          <w:sz w:val="20"/>
          <w:szCs w:val="20"/>
          <w:u w:val="single"/>
        </w:rPr>
        <w:t>academic term</w:t>
      </w:r>
      <w:r w:rsidR="002978B8">
        <w:rPr>
          <w:sz w:val="20"/>
          <w:szCs w:val="20"/>
          <w:u w:val="single"/>
        </w:rPr>
        <w:t>.</w:t>
      </w:r>
    </w:p>
    <w:p w14:paraId="2A20760D" w14:textId="52AC1707" w:rsidR="00720A49" w:rsidRPr="00892A9E" w:rsidRDefault="00720A49" w:rsidP="00B43A31">
      <w:pPr>
        <w:widowControl w:val="0"/>
        <w:tabs>
          <w:tab w:val="left" w:pos="360"/>
        </w:tabs>
        <w:spacing w:line="480" w:lineRule="auto"/>
        <w:ind w:left="360"/>
        <w:rPr>
          <w:rFonts w:eastAsia="SimSun"/>
          <w:b/>
          <w:bCs/>
          <w:sz w:val="20"/>
          <w:szCs w:val="20"/>
        </w:rPr>
      </w:pPr>
    </w:p>
    <w:p w14:paraId="3A60FC4F" w14:textId="0AB27314" w:rsidR="00214278" w:rsidRPr="003D3076" w:rsidRDefault="00214278" w:rsidP="00B43A31">
      <w:pPr>
        <w:widowControl w:val="0"/>
        <w:tabs>
          <w:tab w:val="left" w:pos="360"/>
          <w:tab w:val="left" w:pos="360"/>
          <w:tab w:val="left" w:pos="360"/>
          <w:tab w:val="left" w:pos="360"/>
        </w:tabs>
        <w:overflowPunct w:val="0"/>
        <w:autoSpaceDE w:val="0"/>
        <w:autoSpaceDN w:val="0"/>
        <w:adjustRightInd w:val="0"/>
        <w:spacing w:before="120" w:after="240" w:line="480" w:lineRule="auto"/>
        <w:ind w:left="360"/>
        <w:textAlignment w:val="baseline"/>
        <w:rPr>
          <w:rFonts w:eastAsia="SimSun"/>
          <w:b/>
          <w:bCs/>
          <w:noProof/>
          <w:sz w:val="18"/>
          <w:szCs w:val="18"/>
          <w:u w:val="single"/>
        </w:rPr>
      </w:pPr>
      <w:r w:rsidRPr="00892A9E">
        <w:rPr>
          <w:rFonts w:eastAsia="SimSun"/>
          <w:i/>
          <w:iCs/>
          <w:sz w:val="18"/>
          <w:szCs w:val="18"/>
        </w:rPr>
        <w:t>Rulemaking Authority 1001.02(1), (2)(n), 1009.8962(10) FS. Law Implemented 1009.8962 FS. History‒New 9-20-22, Amended 9-26-23, 7-2-24, 12-21-25</w:t>
      </w:r>
      <w:r w:rsidR="003D3076">
        <w:rPr>
          <w:rFonts w:eastAsia="SimSun"/>
          <w:i/>
          <w:iCs/>
          <w:sz w:val="18"/>
          <w:szCs w:val="18"/>
          <w:u w:val="single"/>
        </w:rPr>
        <w:t>,</w:t>
      </w:r>
    </w:p>
    <w:p w14:paraId="35BC3340" w14:textId="77777777" w:rsidR="00214278" w:rsidRPr="00892A9E" w:rsidRDefault="00214278" w:rsidP="00214278"/>
    <w:sectPr w:rsidR="00214278" w:rsidRPr="00892A9E" w:rsidSect="00214278">
      <w:pgSz w:w="12240" w:h="15840"/>
      <w:pgMar w:top="1440" w:right="794" w:bottom="1440"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7332" w14:textId="77777777" w:rsidR="00C86957" w:rsidRDefault="00C86957" w:rsidP="00AC0BD1">
      <w:r>
        <w:separator/>
      </w:r>
    </w:p>
  </w:endnote>
  <w:endnote w:type="continuationSeparator" w:id="0">
    <w:p w14:paraId="695CDAC2" w14:textId="77777777" w:rsidR="00C86957" w:rsidRDefault="00C86957" w:rsidP="00AC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ans Narrow">
    <w:charset w:val="00"/>
    <w:family w:val="swiss"/>
    <w:pitch w:val="variable"/>
    <w:sig w:usb0="A00002EF" w:usb1="50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9676" w14:textId="77777777" w:rsidR="00C86957" w:rsidRDefault="00C86957" w:rsidP="00AC0BD1">
      <w:r>
        <w:separator/>
      </w:r>
    </w:p>
  </w:footnote>
  <w:footnote w:type="continuationSeparator" w:id="0">
    <w:p w14:paraId="6919BDE3" w14:textId="77777777" w:rsidR="00C86957" w:rsidRDefault="00C86957" w:rsidP="00AC0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78"/>
    <w:rsid w:val="00044DD2"/>
    <w:rsid w:val="00054BCC"/>
    <w:rsid w:val="00095094"/>
    <w:rsid w:val="000D0348"/>
    <w:rsid w:val="001310B4"/>
    <w:rsid w:val="00153390"/>
    <w:rsid w:val="0018658E"/>
    <w:rsid w:val="001E1F1A"/>
    <w:rsid w:val="00214278"/>
    <w:rsid w:val="002978B8"/>
    <w:rsid w:val="002A0A3B"/>
    <w:rsid w:val="002C63F8"/>
    <w:rsid w:val="003634C1"/>
    <w:rsid w:val="003733A1"/>
    <w:rsid w:val="003876FC"/>
    <w:rsid w:val="0039752B"/>
    <w:rsid w:val="003D3076"/>
    <w:rsid w:val="003F22B9"/>
    <w:rsid w:val="004236BD"/>
    <w:rsid w:val="004844DC"/>
    <w:rsid w:val="004B3028"/>
    <w:rsid w:val="00546133"/>
    <w:rsid w:val="00567ED1"/>
    <w:rsid w:val="005B12E1"/>
    <w:rsid w:val="005F21B1"/>
    <w:rsid w:val="005F290A"/>
    <w:rsid w:val="006349AB"/>
    <w:rsid w:val="006647CC"/>
    <w:rsid w:val="00682889"/>
    <w:rsid w:val="006E02CB"/>
    <w:rsid w:val="00704E0E"/>
    <w:rsid w:val="00720A49"/>
    <w:rsid w:val="007A041D"/>
    <w:rsid w:val="0081503E"/>
    <w:rsid w:val="00830652"/>
    <w:rsid w:val="00892A9E"/>
    <w:rsid w:val="008C7E59"/>
    <w:rsid w:val="009555B2"/>
    <w:rsid w:val="00964F55"/>
    <w:rsid w:val="009A0C79"/>
    <w:rsid w:val="00A00777"/>
    <w:rsid w:val="00A079FA"/>
    <w:rsid w:val="00A232DC"/>
    <w:rsid w:val="00A41236"/>
    <w:rsid w:val="00A56099"/>
    <w:rsid w:val="00AB7C7A"/>
    <w:rsid w:val="00AC0BD1"/>
    <w:rsid w:val="00B43A31"/>
    <w:rsid w:val="00B67306"/>
    <w:rsid w:val="00B73ABB"/>
    <w:rsid w:val="00B772B6"/>
    <w:rsid w:val="00BC07C1"/>
    <w:rsid w:val="00BC46AB"/>
    <w:rsid w:val="00BC4CB2"/>
    <w:rsid w:val="00BD3C2E"/>
    <w:rsid w:val="00C07468"/>
    <w:rsid w:val="00C52AEC"/>
    <w:rsid w:val="00C86957"/>
    <w:rsid w:val="00CB087E"/>
    <w:rsid w:val="00CC014D"/>
    <w:rsid w:val="00CE0942"/>
    <w:rsid w:val="00E63FD4"/>
    <w:rsid w:val="00E745C4"/>
    <w:rsid w:val="00EC17CC"/>
    <w:rsid w:val="00ED3437"/>
    <w:rsid w:val="00F04534"/>
    <w:rsid w:val="00F05A50"/>
    <w:rsid w:val="00F07475"/>
    <w:rsid w:val="00F23535"/>
    <w:rsid w:val="00F46861"/>
    <w:rsid w:val="00F72C07"/>
    <w:rsid w:val="00F86490"/>
    <w:rsid w:val="00FD441C"/>
    <w:rsid w:val="00FE6A08"/>
    <w:rsid w:val="03431A8C"/>
    <w:rsid w:val="0561E6C9"/>
    <w:rsid w:val="083E3CAA"/>
    <w:rsid w:val="08F88657"/>
    <w:rsid w:val="09BF931A"/>
    <w:rsid w:val="0A3EACA8"/>
    <w:rsid w:val="0B84E43E"/>
    <w:rsid w:val="0CF0FA61"/>
    <w:rsid w:val="0E19A278"/>
    <w:rsid w:val="11F270F5"/>
    <w:rsid w:val="1472FC85"/>
    <w:rsid w:val="156FF0BD"/>
    <w:rsid w:val="16C52E72"/>
    <w:rsid w:val="18ECEA89"/>
    <w:rsid w:val="1A4575C6"/>
    <w:rsid w:val="1A7DCE0E"/>
    <w:rsid w:val="1B3D2D07"/>
    <w:rsid w:val="1BAB440E"/>
    <w:rsid w:val="1C02FA87"/>
    <w:rsid w:val="1C1DEC24"/>
    <w:rsid w:val="1F3D609A"/>
    <w:rsid w:val="1F4AFDED"/>
    <w:rsid w:val="2027B259"/>
    <w:rsid w:val="21D88861"/>
    <w:rsid w:val="23990DDC"/>
    <w:rsid w:val="23EA6F08"/>
    <w:rsid w:val="2508C39F"/>
    <w:rsid w:val="256F7FF7"/>
    <w:rsid w:val="28172371"/>
    <w:rsid w:val="28BE3F7E"/>
    <w:rsid w:val="2973121C"/>
    <w:rsid w:val="298C5DFE"/>
    <w:rsid w:val="29D4943F"/>
    <w:rsid w:val="2A49E7FC"/>
    <w:rsid w:val="2AC657CC"/>
    <w:rsid w:val="2ADDC775"/>
    <w:rsid w:val="2C1E7551"/>
    <w:rsid w:val="2DBBECFB"/>
    <w:rsid w:val="2E3BDD9D"/>
    <w:rsid w:val="2EE5D981"/>
    <w:rsid w:val="30BD78C0"/>
    <w:rsid w:val="321948E5"/>
    <w:rsid w:val="33684051"/>
    <w:rsid w:val="3397285A"/>
    <w:rsid w:val="34DDE7CB"/>
    <w:rsid w:val="3518D2C3"/>
    <w:rsid w:val="35FADFA4"/>
    <w:rsid w:val="37FC4510"/>
    <w:rsid w:val="3A4E3888"/>
    <w:rsid w:val="3EFAE5D5"/>
    <w:rsid w:val="3FE4448F"/>
    <w:rsid w:val="4181AEA8"/>
    <w:rsid w:val="42BEB2BF"/>
    <w:rsid w:val="4328B2FB"/>
    <w:rsid w:val="445445F3"/>
    <w:rsid w:val="45046235"/>
    <w:rsid w:val="45316CB3"/>
    <w:rsid w:val="46836B6F"/>
    <w:rsid w:val="491AC1E9"/>
    <w:rsid w:val="492C656A"/>
    <w:rsid w:val="4A905664"/>
    <w:rsid w:val="4CA8A067"/>
    <w:rsid w:val="50D101C8"/>
    <w:rsid w:val="50D94000"/>
    <w:rsid w:val="51DAB8C6"/>
    <w:rsid w:val="559E8C70"/>
    <w:rsid w:val="56175600"/>
    <w:rsid w:val="57285AE2"/>
    <w:rsid w:val="5A84131B"/>
    <w:rsid w:val="5E229A79"/>
    <w:rsid w:val="5FFD00F3"/>
    <w:rsid w:val="60038354"/>
    <w:rsid w:val="61DFAC9E"/>
    <w:rsid w:val="620697A3"/>
    <w:rsid w:val="622B4FC4"/>
    <w:rsid w:val="6257E134"/>
    <w:rsid w:val="6289B3ED"/>
    <w:rsid w:val="62B0514A"/>
    <w:rsid w:val="62CD0925"/>
    <w:rsid w:val="6447262B"/>
    <w:rsid w:val="659AB22E"/>
    <w:rsid w:val="66B4214C"/>
    <w:rsid w:val="67359073"/>
    <w:rsid w:val="685B07AB"/>
    <w:rsid w:val="68A0258D"/>
    <w:rsid w:val="6B6EE227"/>
    <w:rsid w:val="6C0C3F5F"/>
    <w:rsid w:val="6E1B4F6C"/>
    <w:rsid w:val="700FE09D"/>
    <w:rsid w:val="705E7E19"/>
    <w:rsid w:val="70759845"/>
    <w:rsid w:val="72A85FF1"/>
    <w:rsid w:val="73FA9089"/>
    <w:rsid w:val="7429E5B1"/>
    <w:rsid w:val="7956AD74"/>
    <w:rsid w:val="7969A561"/>
    <w:rsid w:val="7A196511"/>
    <w:rsid w:val="7A7E7317"/>
    <w:rsid w:val="7A962596"/>
    <w:rsid w:val="7B424A24"/>
    <w:rsid w:val="7D89B6E8"/>
    <w:rsid w:val="7DDCBD41"/>
    <w:rsid w:val="7E22CB25"/>
    <w:rsid w:val="7FD2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50FC5"/>
  <w15:chartTrackingRefBased/>
  <w15:docId w15:val="{52588779-F7F0-49E9-A995-3F2C91EE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14278"/>
    <w:pPr>
      <w:widowControl w:val="0"/>
      <w:overflowPunct w:val="0"/>
      <w:autoSpaceDE w:val="0"/>
      <w:autoSpaceDN w:val="0"/>
      <w:adjustRightInd w:val="0"/>
      <w:spacing w:line="260" w:lineRule="atLeast"/>
      <w:jc w:val="center"/>
      <w:textAlignment w:val="baseline"/>
      <w:outlineLvl w:val="0"/>
    </w:pPr>
    <w:rPr>
      <w:rFonts w:ascii="Arial" w:hAnsi="Arial"/>
      <w:b/>
      <w:kern w:val="28"/>
      <w:szCs w:val="20"/>
    </w:rPr>
  </w:style>
  <w:style w:type="paragraph" w:styleId="Heading2">
    <w:name w:val="heading 2"/>
    <w:basedOn w:val="Normal"/>
    <w:next w:val="Normal"/>
    <w:link w:val="Heading2Char"/>
    <w:qFormat/>
    <w:rsid w:val="00214278"/>
    <w:pPr>
      <w:keepNext/>
      <w:tabs>
        <w:tab w:val="left" w:pos="0"/>
        <w:tab w:val="left" w:pos="540"/>
        <w:tab w:val="left" w:pos="900"/>
        <w:tab w:val="left" w:pos="1260"/>
        <w:tab w:val="left" w:pos="1620"/>
        <w:tab w:val="left" w:pos="1980"/>
        <w:tab w:val="left" w:pos="2340"/>
        <w:tab w:val="left" w:pos="2700"/>
        <w:tab w:val="left" w:pos="3060"/>
        <w:tab w:val="left" w:pos="4320"/>
        <w:tab w:val="left" w:pos="5760"/>
      </w:tabs>
      <w:suppressAutoHyphens/>
      <w:overflowPunct w:val="0"/>
      <w:autoSpaceDE w:val="0"/>
      <w:autoSpaceDN w:val="0"/>
      <w:adjustRightInd w:val="0"/>
      <w:spacing w:line="260" w:lineRule="atLeast"/>
      <w:ind w:right="180"/>
      <w:jc w:val="center"/>
      <w:textAlignment w:val="baseline"/>
      <w:outlineLvl w:val="1"/>
    </w:pPr>
    <w:rPr>
      <w:rFonts w:ascii="Arial" w:hAnsi="Arial"/>
      <w:b/>
      <w:szCs w:val="20"/>
    </w:rPr>
  </w:style>
  <w:style w:type="paragraph" w:styleId="Heading4">
    <w:name w:val="heading 4"/>
    <w:basedOn w:val="Normal"/>
    <w:next w:val="Normal"/>
    <w:link w:val="Heading4Char"/>
    <w:qFormat/>
    <w:rsid w:val="00214278"/>
    <w:pPr>
      <w:keepNext/>
      <w:overflowPunct w:val="0"/>
      <w:autoSpaceDE w:val="0"/>
      <w:autoSpaceDN w:val="0"/>
      <w:adjustRightInd w:val="0"/>
      <w:spacing w:line="260" w:lineRule="atLeast"/>
      <w:jc w:val="both"/>
      <w:textAlignment w:val="baseline"/>
      <w:outlineLvl w:val="3"/>
    </w:pPr>
    <w:rPr>
      <w:rFonts w:ascii="Arial" w:hAnsi="Arial"/>
      <w:szCs w:val="20"/>
    </w:rPr>
  </w:style>
  <w:style w:type="paragraph" w:styleId="Heading5">
    <w:name w:val="heading 5"/>
    <w:basedOn w:val="Normal"/>
    <w:next w:val="Normal"/>
    <w:link w:val="Heading5Char"/>
    <w:qFormat/>
    <w:rsid w:val="00214278"/>
    <w:pPr>
      <w:keepNext/>
      <w:tabs>
        <w:tab w:val="left" w:pos="0"/>
        <w:tab w:val="left" w:pos="540"/>
        <w:tab w:val="left" w:pos="900"/>
        <w:tab w:val="left" w:pos="1260"/>
        <w:tab w:val="left" w:pos="1620"/>
        <w:tab w:val="left" w:pos="1980"/>
        <w:tab w:val="left" w:pos="2340"/>
        <w:tab w:val="left" w:pos="2700"/>
        <w:tab w:val="left" w:pos="3060"/>
        <w:tab w:val="left" w:pos="4320"/>
        <w:tab w:val="left" w:pos="5760"/>
      </w:tabs>
      <w:suppressAutoHyphens/>
      <w:overflowPunct w:val="0"/>
      <w:autoSpaceDE w:val="0"/>
      <w:autoSpaceDN w:val="0"/>
      <w:adjustRightInd w:val="0"/>
      <w:spacing w:line="260" w:lineRule="atLeast"/>
      <w:jc w:val="center"/>
      <w:textAlignment w:val="baseline"/>
      <w:outlineLvl w:val="4"/>
    </w:pPr>
    <w:rPr>
      <w:b/>
      <w:szCs w:val="20"/>
    </w:rPr>
  </w:style>
  <w:style w:type="paragraph" w:styleId="Heading6">
    <w:name w:val="heading 6"/>
    <w:basedOn w:val="Normal"/>
    <w:next w:val="Normal"/>
    <w:link w:val="Heading6Char"/>
    <w:qFormat/>
    <w:rsid w:val="00214278"/>
    <w:pPr>
      <w:keepNext/>
      <w:tabs>
        <w:tab w:val="left" w:pos="0"/>
        <w:tab w:val="left" w:pos="540"/>
        <w:tab w:val="left" w:pos="900"/>
        <w:tab w:val="left" w:pos="1260"/>
        <w:tab w:val="left" w:pos="1620"/>
        <w:tab w:val="left" w:pos="1980"/>
        <w:tab w:val="left" w:pos="2340"/>
        <w:tab w:val="left" w:pos="2700"/>
        <w:tab w:val="left" w:pos="3060"/>
        <w:tab w:val="left" w:pos="4320"/>
        <w:tab w:val="left" w:pos="5760"/>
      </w:tabs>
      <w:suppressAutoHyphens/>
      <w:overflowPunct w:val="0"/>
      <w:autoSpaceDE w:val="0"/>
      <w:autoSpaceDN w:val="0"/>
      <w:adjustRightInd w:val="0"/>
      <w:spacing w:line="260" w:lineRule="atLeast"/>
      <w:jc w:val="both"/>
      <w:textAlignment w:val="baseline"/>
      <w:outlineLvl w:val="5"/>
    </w:pPr>
    <w:rPr>
      <w:color w:val="FF0000"/>
      <w:szCs w:val="20"/>
    </w:rPr>
  </w:style>
  <w:style w:type="paragraph" w:styleId="Heading7">
    <w:name w:val="heading 7"/>
    <w:basedOn w:val="Normal"/>
    <w:next w:val="Normal"/>
    <w:link w:val="Heading7Char"/>
    <w:qFormat/>
    <w:rsid w:val="00214278"/>
    <w:pPr>
      <w:keepNext/>
      <w:suppressAutoHyphens/>
      <w:overflowPunct w:val="0"/>
      <w:autoSpaceDE w:val="0"/>
      <w:autoSpaceDN w:val="0"/>
      <w:adjustRightInd w:val="0"/>
      <w:spacing w:before="60" w:after="60" w:line="260" w:lineRule="atLeast"/>
      <w:jc w:val="both"/>
      <w:textAlignment w:val="baseline"/>
      <w:outlineLvl w:val="6"/>
    </w:pPr>
    <w:rPr>
      <w:szCs w:val="20"/>
    </w:rPr>
  </w:style>
  <w:style w:type="paragraph" w:styleId="Heading8">
    <w:name w:val="heading 8"/>
    <w:basedOn w:val="Normal"/>
    <w:next w:val="Normal"/>
    <w:link w:val="Heading8Char"/>
    <w:qFormat/>
    <w:rsid w:val="00214278"/>
    <w:pPr>
      <w:keepNext/>
      <w:widowControl w:val="0"/>
      <w:suppressAutoHyphens/>
      <w:overflowPunct w:val="0"/>
      <w:autoSpaceDE w:val="0"/>
      <w:autoSpaceDN w:val="0"/>
      <w:adjustRightInd w:val="0"/>
      <w:spacing w:before="60" w:after="60" w:line="260" w:lineRule="atLeast"/>
      <w:jc w:val="center"/>
      <w:textAlignment w:val="baseline"/>
      <w:outlineLvl w:val="7"/>
    </w:pPr>
    <w:rPr>
      <w:rFonts w:ascii="Arial" w:hAnsi="Arial"/>
      <w:sz w:val="22"/>
      <w:szCs w:val="20"/>
      <w:u w:val="single"/>
    </w:rPr>
  </w:style>
  <w:style w:type="paragraph" w:styleId="Heading9">
    <w:name w:val="heading 9"/>
    <w:basedOn w:val="Normal"/>
    <w:next w:val="Normal"/>
    <w:link w:val="Heading9Char"/>
    <w:qFormat/>
    <w:rsid w:val="00214278"/>
    <w:pPr>
      <w:keepNext/>
      <w:tabs>
        <w:tab w:val="left" w:pos="0"/>
      </w:tabs>
      <w:suppressAutoHyphens/>
      <w:overflowPunct w:val="0"/>
      <w:autoSpaceDE w:val="0"/>
      <w:autoSpaceDN w:val="0"/>
      <w:adjustRightInd w:val="0"/>
      <w:spacing w:before="60" w:after="40" w:line="260" w:lineRule="atLeast"/>
      <w:jc w:val="center"/>
      <w:textAlignment w:val="baseline"/>
      <w:outlineLvl w:val="8"/>
    </w:pPr>
    <w:rPr>
      <w:rFonts w:ascii="Arial" w:hAnsi="Arial"/>
      <w:sz w:val="1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214278"/>
  </w:style>
  <w:style w:type="character" w:customStyle="1" w:styleId="Heading1Char">
    <w:name w:val="Heading 1 Char"/>
    <w:link w:val="Heading1"/>
    <w:rsid w:val="00214278"/>
    <w:rPr>
      <w:rFonts w:ascii="Arial" w:hAnsi="Arial"/>
      <w:b/>
      <w:kern w:val="28"/>
      <w:sz w:val="24"/>
      <w:lang w:val="en-US" w:eastAsia="en-US" w:bidi="ar-SA"/>
    </w:rPr>
  </w:style>
  <w:style w:type="character" w:customStyle="1" w:styleId="Heading2Char">
    <w:name w:val="Heading 2 Char"/>
    <w:link w:val="Heading2"/>
    <w:rsid w:val="00214278"/>
    <w:rPr>
      <w:rFonts w:ascii="Arial" w:hAnsi="Arial"/>
      <w:b/>
      <w:sz w:val="24"/>
      <w:lang w:val="en-US" w:eastAsia="en-US" w:bidi="ar-SA"/>
    </w:rPr>
  </w:style>
  <w:style w:type="character" w:customStyle="1" w:styleId="Heading4Char">
    <w:name w:val="Heading 4 Char"/>
    <w:link w:val="Heading4"/>
    <w:rsid w:val="00214278"/>
    <w:rPr>
      <w:rFonts w:ascii="Arial" w:hAnsi="Arial"/>
      <w:sz w:val="24"/>
      <w:lang w:val="en-US" w:eastAsia="en-US" w:bidi="ar-SA"/>
    </w:rPr>
  </w:style>
  <w:style w:type="character" w:customStyle="1" w:styleId="Heading5Char">
    <w:name w:val="Heading 5 Char"/>
    <w:link w:val="Heading5"/>
    <w:rsid w:val="00214278"/>
    <w:rPr>
      <w:b/>
      <w:sz w:val="24"/>
      <w:lang w:val="en-US" w:eastAsia="en-US" w:bidi="ar-SA"/>
    </w:rPr>
  </w:style>
  <w:style w:type="character" w:customStyle="1" w:styleId="Heading6Char">
    <w:name w:val="Heading 6 Char"/>
    <w:link w:val="Heading6"/>
    <w:rsid w:val="00214278"/>
    <w:rPr>
      <w:color w:val="FF0000"/>
      <w:sz w:val="24"/>
      <w:lang w:val="en-US" w:eastAsia="en-US" w:bidi="ar-SA"/>
    </w:rPr>
  </w:style>
  <w:style w:type="character" w:customStyle="1" w:styleId="Heading7Char">
    <w:name w:val="Heading 7 Char"/>
    <w:link w:val="Heading7"/>
    <w:rsid w:val="00214278"/>
    <w:rPr>
      <w:sz w:val="24"/>
      <w:lang w:val="en-US" w:eastAsia="en-US" w:bidi="ar-SA"/>
    </w:rPr>
  </w:style>
  <w:style w:type="character" w:customStyle="1" w:styleId="Heading8Char">
    <w:name w:val="Heading 8 Char"/>
    <w:link w:val="Heading8"/>
    <w:rsid w:val="00214278"/>
    <w:rPr>
      <w:rFonts w:ascii="Arial" w:hAnsi="Arial"/>
      <w:sz w:val="22"/>
      <w:u w:val="single"/>
      <w:lang w:val="en-US" w:eastAsia="en-US" w:bidi="ar-SA"/>
    </w:rPr>
  </w:style>
  <w:style w:type="character" w:customStyle="1" w:styleId="Heading9Char">
    <w:name w:val="Heading 9 Char"/>
    <w:link w:val="Heading9"/>
    <w:rsid w:val="00214278"/>
    <w:rPr>
      <w:rFonts w:ascii="Arial" w:hAnsi="Arial"/>
      <w:sz w:val="16"/>
      <w:u w:val="single"/>
      <w:lang w:val="en-US" w:eastAsia="en-US" w:bidi="ar-SA"/>
    </w:rPr>
  </w:style>
  <w:style w:type="character" w:styleId="Hyperlink">
    <w:name w:val="Hyperlink"/>
    <w:unhideWhenUsed/>
    <w:rsid w:val="00214278"/>
    <w:rPr>
      <w:color w:val="0563C1"/>
      <w:u w:val="single"/>
    </w:rPr>
  </w:style>
  <w:style w:type="paragraph" w:styleId="BalloonText">
    <w:name w:val="Balloon Text"/>
    <w:basedOn w:val="Normal"/>
    <w:link w:val="BalloonTextChar"/>
    <w:semiHidden/>
    <w:unhideWhenUsed/>
    <w:rsid w:val="00214278"/>
    <w:pPr>
      <w:jc w:val="both"/>
    </w:pPr>
    <w:rPr>
      <w:rFonts w:ascii="Segoe UI" w:hAnsi="Segoe UI" w:cs="Segoe UI"/>
      <w:sz w:val="18"/>
      <w:szCs w:val="18"/>
    </w:rPr>
  </w:style>
  <w:style w:type="character" w:customStyle="1" w:styleId="BalloonTextChar">
    <w:name w:val="Balloon Text Char"/>
    <w:link w:val="BalloonText"/>
    <w:semiHidden/>
    <w:rsid w:val="00214278"/>
    <w:rPr>
      <w:rFonts w:ascii="Segoe UI" w:hAnsi="Segoe UI" w:cs="Segoe UI"/>
      <w:sz w:val="18"/>
      <w:szCs w:val="18"/>
      <w:lang w:val="en-US" w:eastAsia="en-US" w:bidi="ar-SA"/>
    </w:rPr>
  </w:style>
  <w:style w:type="paragraph" w:customStyle="1" w:styleId="xmsonormal">
    <w:name w:val="x_msonormal"/>
    <w:basedOn w:val="Normal"/>
    <w:rsid w:val="00214278"/>
    <w:pPr>
      <w:spacing w:before="100" w:beforeAutospacing="1" w:after="100" w:afterAutospacing="1"/>
    </w:pPr>
  </w:style>
  <w:style w:type="paragraph" w:customStyle="1" w:styleId="xmsolistparagraph">
    <w:name w:val="x_msolistparagraph"/>
    <w:basedOn w:val="Normal"/>
    <w:rsid w:val="00214278"/>
    <w:rPr>
      <w:rFonts w:eastAsia="Calibri"/>
    </w:rPr>
  </w:style>
  <w:style w:type="paragraph" w:customStyle="1" w:styleId="Default">
    <w:name w:val="Default"/>
    <w:rsid w:val="00214278"/>
    <w:pPr>
      <w:autoSpaceDE w:val="0"/>
      <w:autoSpaceDN w:val="0"/>
      <w:adjustRightInd w:val="0"/>
    </w:pPr>
    <w:rPr>
      <w:rFonts w:eastAsia="Calibri"/>
      <w:color w:val="000000"/>
      <w:sz w:val="24"/>
      <w:szCs w:val="24"/>
    </w:rPr>
  </w:style>
  <w:style w:type="character" w:styleId="Emphasis">
    <w:name w:val="Emphasis"/>
    <w:qFormat/>
    <w:rsid w:val="00214278"/>
    <w:rPr>
      <w:i/>
      <w:iCs/>
    </w:rPr>
  </w:style>
  <w:style w:type="character" w:customStyle="1" w:styleId="text-italic">
    <w:name w:val="text-italic"/>
    <w:rsid w:val="00214278"/>
  </w:style>
  <w:style w:type="paragraph" w:customStyle="1" w:styleId="xmsonormal0">
    <w:name w:val="xmsonormal"/>
    <w:basedOn w:val="Normal"/>
    <w:rsid w:val="00214278"/>
    <w:rPr>
      <w:rFonts w:eastAsia="Calibri"/>
    </w:rPr>
  </w:style>
  <w:style w:type="paragraph" w:customStyle="1" w:styleId="paragraph">
    <w:name w:val="paragraph"/>
    <w:basedOn w:val="Normal"/>
    <w:rsid w:val="00214278"/>
    <w:pPr>
      <w:spacing w:before="100" w:beforeAutospacing="1" w:after="100" w:afterAutospacing="1"/>
    </w:pPr>
  </w:style>
  <w:style w:type="character" w:customStyle="1" w:styleId="normaltextrun">
    <w:name w:val="normaltextrun"/>
    <w:rsid w:val="00214278"/>
  </w:style>
  <w:style w:type="character" w:customStyle="1" w:styleId="eop">
    <w:name w:val="eop"/>
    <w:rsid w:val="00214278"/>
  </w:style>
  <w:style w:type="paragraph" w:styleId="ListParagraph">
    <w:name w:val="List Paragraph"/>
    <w:basedOn w:val="Normal"/>
    <w:qFormat/>
    <w:rsid w:val="00214278"/>
    <w:pPr>
      <w:spacing w:after="160" w:line="259" w:lineRule="auto"/>
      <w:ind w:left="720"/>
      <w:contextualSpacing/>
    </w:pPr>
    <w:rPr>
      <w:rFonts w:ascii="Calibri" w:eastAsia="Calibri" w:hAnsi="Calibri"/>
      <w:sz w:val="22"/>
      <w:szCs w:val="22"/>
    </w:rPr>
  </w:style>
  <w:style w:type="table" w:styleId="TableGrid">
    <w:name w:val="Table Grid"/>
    <w:basedOn w:val="TableNormal"/>
    <w:rsid w:val="0021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semiHidden/>
    <w:unhideWhenUsed/>
    <w:rsid w:val="00214278"/>
    <w:rPr>
      <w:color w:val="605E5C"/>
      <w:shd w:val="clear" w:color="auto" w:fill="E1DFDD"/>
    </w:rPr>
  </w:style>
  <w:style w:type="paragraph" w:styleId="NoSpacing">
    <w:name w:val="No Spacing"/>
    <w:qFormat/>
    <w:rsid w:val="00214278"/>
    <w:pPr>
      <w:jc w:val="both"/>
    </w:pPr>
    <w:rPr>
      <w:sz w:val="24"/>
      <w:szCs w:val="24"/>
    </w:rPr>
  </w:style>
  <w:style w:type="paragraph" w:styleId="Header">
    <w:name w:val="header"/>
    <w:basedOn w:val="Normal"/>
    <w:link w:val="HeaderChar"/>
    <w:unhideWhenUsed/>
    <w:rsid w:val="00214278"/>
    <w:pPr>
      <w:tabs>
        <w:tab w:val="center" w:pos="4680"/>
        <w:tab w:val="right" w:pos="9360"/>
      </w:tabs>
      <w:spacing w:line="260" w:lineRule="atLeast"/>
      <w:jc w:val="both"/>
    </w:pPr>
  </w:style>
  <w:style w:type="character" w:customStyle="1" w:styleId="HeaderChar">
    <w:name w:val="Header Char"/>
    <w:link w:val="Header"/>
    <w:rsid w:val="00214278"/>
    <w:rPr>
      <w:sz w:val="24"/>
      <w:szCs w:val="24"/>
      <w:lang w:val="en-US" w:eastAsia="en-US" w:bidi="ar-SA"/>
    </w:rPr>
  </w:style>
  <w:style w:type="paragraph" w:styleId="Footer">
    <w:name w:val="footer"/>
    <w:basedOn w:val="Normal"/>
    <w:link w:val="FooterChar"/>
    <w:unhideWhenUsed/>
    <w:rsid w:val="00214278"/>
    <w:pPr>
      <w:tabs>
        <w:tab w:val="center" w:pos="4680"/>
        <w:tab w:val="right" w:pos="9360"/>
      </w:tabs>
      <w:spacing w:line="260" w:lineRule="atLeast"/>
      <w:jc w:val="both"/>
    </w:pPr>
  </w:style>
  <w:style w:type="character" w:customStyle="1" w:styleId="FooterChar">
    <w:name w:val="Footer Char"/>
    <w:link w:val="Footer"/>
    <w:rsid w:val="00214278"/>
    <w:rPr>
      <w:sz w:val="24"/>
      <w:szCs w:val="24"/>
      <w:lang w:val="en-US" w:eastAsia="en-US" w:bidi="ar-SA"/>
    </w:rPr>
  </w:style>
  <w:style w:type="character" w:styleId="FollowedHyperlink">
    <w:name w:val="FollowedHyperlink"/>
    <w:semiHidden/>
    <w:unhideWhenUsed/>
    <w:rsid w:val="00214278"/>
    <w:rPr>
      <w:color w:val="96607D"/>
      <w:u w:val="single"/>
    </w:rPr>
  </w:style>
  <w:style w:type="character" w:styleId="CommentReference">
    <w:name w:val="annotation reference"/>
    <w:rsid w:val="001310B4"/>
    <w:rPr>
      <w:sz w:val="16"/>
      <w:szCs w:val="16"/>
    </w:rPr>
  </w:style>
  <w:style w:type="paragraph" w:styleId="CommentText">
    <w:name w:val="annotation text"/>
    <w:basedOn w:val="Normal"/>
    <w:link w:val="CommentTextChar"/>
    <w:rsid w:val="001310B4"/>
    <w:rPr>
      <w:sz w:val="20"/>
      <w:szCs w:val="20"/>
    </w:rPr>
  </w:style>
  <w:style w:type="character" w:customStyle="1" w:styleId="CommentTextChar">
    <w:name w:val="Comment Text Char"/>
    <w:basedOn w:val="DefaultParagraphFont"/>
    <w:link w:val="CommentText"/>
    <w:rsid w:val="001310B4"/>
  </w:style>
  <w:style w:type="paragraph" w:styleId="CommentSubject">
    <w:name w:val="annotation subject"/>
    <w:basedOn w:val="CommentText"/>
    <w:next w:val="CommentText"/>
    <w:link w:val="CommentSubjectChar"/>
    <w:rsid w:val="001310B4"/>
    <w:rPr>
      <w:b/>
      <w:bCs/>
    </w:rPr>
  </w:style>
  <w:style w:type="character" w:customStyle="1" w:styleId="CommentSubjectChar">
    <w:name w:val="Comment Subject Char"/>
    <w:link w:val="CommentSubject"/>
    <w:rsid w:val="001310B4"/>
    <w:rPr>
      <w:b/>
      <w:bCs/>
    </w:rPr>
  </w:style>
  <w:style w:type="paragraph" w:styleId="NormalWeb">
    <w:name w:val="Normal (Web)"/>
    <w:basedOn w:val="Normal"/>
    <w:rsid w:val="0095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642928-a941-422e-9832-08d5e01b600f">
      <Terms xmlns="http://schemas.microsoft.com/office/infopath/2007/PartnerControls"/>
    </lcf76f155ced4ddcb4097134ff3c332f>
    <TaxCatchAll xmlns="88fcc778-220e-4bcf-8931-4effe16f08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962FC78C3719459D7F278F7B2CE8B2" ma:contentTypeVersion="16" ma:contentTypeDescription="Create a new document." ma:contentTypeScope="" ma:versionID="0fe599ddac66cfd0ae6c1fdb7ab344ea">
  <xsd:schema xmlns:xsd="http://www.w3.org/2001/XMLSchema" xmlns:xs="http://www.w3.org/2001/XMLSchema" xmlns:p="http://schemas.microsoft.com/office/2006/metadata/properties" xmlns:ns2="4b642928-a941-422e-9832-08d5e01b600f" xmlns:ns3="88fcc778-220e-4bcf-8931-4effe16f08fd" targetNamespace="http://schemas.microsoft.com/office/2006/metadata/properties" ma:root="true" ma:fieldsID="fe954eed5979ef5be184096bb73e1ec4" ns2:_="" ns3:_="">
    <xsd:import namespace="4b642928-a941-422e-9832-08d5e01b600f"/>
    <xsd:import namespace="88fcc778-220e-4bcf-8931-4effe16f08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2928-a941-422e-9832-08d5e01b6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cc778-220e-4bcf-8931-4effe16f08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3d85e2-e8cd-4043-94ad-6e7ea2073c6c}" ma:internalName="TaxCatchAll" ma:showField="CatchAllData" ma:web="88fcc778-220e-4bcf-8931-4effe16f0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1E8EA-4258-44BD-B7ED-D486F3B3D1B2}">
  <ds:schemaRefs>
    <ds:schemaRef ds:uri="http://purl.org/dc/elements/1.1/"/>
    <ds:schemaRef ds:uri="http://schemas.microsoft.com/office/2006/metadata/properties"/>
    <ds:schemaRef ds:uri="http://www.w3.org/XML/1998/namespace"/>
    <ds:schemaRef ds:uri="4b642928-a941-422e-9832-08d5e01b600f"/>
    <ds:schemaRef ds:uri="http://schemas.microsoft.com/office/infopath/2007/PartnerControls"/>
    <ds:schemaRef ds:uri="http://schemas.openxmlformats.org/package/2006/metadata/core-properties"/>
    <ds:schemaRef ds:uri="http://schemas.microsoft.com/office/2006/documentManagement/types"/>
    <ds:schemaRef ds:uri="88fcc778-220e-4bcf-8931-4effe16f08fd"/>
    <ds:schemaRef ds:uri="http://purl.org/dc/dcmitype/"/>
    <ds:schemaRef ds:uri="http://purl.org/dc/terms/"/>
  </ds:schemaRefs>
</ds:datastoreItem>
</file>

<file path=customXml/itemProps2.xml><?xml version="1.0" encoding="utf-8"?>
<ds:datastoreItem xmlns:ds="http://schemas.openxmlformats.org/officeDocument/2006/customXml" ds:itemID="{120426EE-76DB-4695-9DF4-5F3A27D84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2928-a941-422e-9832-08d5e01b600f"/>
    <ds:schemaRef ds:uri="88fcc778-220e-4bcf-8931-4effe16f0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901B7-7A4A-4174-8F14-444F93142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1844</Words>
  <Characters>10593</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6A-10</dc:title>
  <dc:subject/>
  <dc:creator>FLRules_Admin</dc:creator>
  <cp:keywords/>
  <dc:description/>
  <cp:lastModifiedBy>Bailey, Jenifer</cp:lastModifiedBy>
  <cp:revision>16</cp:revision>
  <dcterms:created xsi:type="dcterms:W3CDTF">2026-04-24T18:04:00Z</dcterms:created>
  <dcterms:modified xsi:type="dcterms:W3CDTF">2026-05-04T15:02:00Z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0x01010099962FC78C3719459D7F278F7B2CE8B2</vt:lpwstr>
  </property>
  <property fmtid="{D5CDD505-2E9C-101B-9397-08002B2CF9AE}" pid="3" name="MediaServiceImageTags">
    <vt:lpwstr/>
  </property>
  <property fmtid="{D5CDD505-2E9C-101B-9397-08002B2CF9AE}" pid="4" name="GrammarlyDocumentId">
    <vt:lpwstr>39fe7a13-c0f0-476a-b085-6e5764d71837</vt:lpwstr>
  </property>
</Properties>
</file>